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0" w:rsidRDefault="00486BC0" w:rsidP="00486BC0">
      <w:pPr>
        <w:jc w:val="center"/>
      </w:pPr>
      <w:r>
        <w:rPr>
          <w:noProof/>
        </w:rPr>
        <w:drawing>
          <wp:inline distT="0" distB="0" distL="0" distR="0">
            <wp:extent cx="1000125" cy="7334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C0" w:rsidRDefault="00486BC0" w:rsidP="0048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СЛУЖБА ГОСУДАРСТВЕННОГО СТРОИТЕЛЬНОГО НАДЗОРА</w:t>
      </w:r>
    </w:p>
    <w:p w:rsidR="00486BC0" w:rsidRDefault="00486BC0" w:rsidP="00486B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86BC0" w:rsidRDefault="00486BC0" w:rsidP="00486BC0">
      <w:pPr>
        <w:jc w:val="center"/>
      </w:pPr>
    </w:p>
    <w:p w:rsidR="00486BC0" w:rsidRDefault="00486BC0" w:rsidP="00486BC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86BC0" w:rsidRDefault="00486BC0" w:rsidP="00486BC0">
      <w:pPr>
        <w:rPr>
          <w:sz w:val="28"/>
          <w:szCs w:val="28"/>
        </w:rPr>
      </w:pPr>
    </w:p>
    <w:p w:rsidR="00486BC0" w:rsidRDefault="00486BC0" w:rsidP="00486BC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</w:t>
      </w:r>
    </w:p>
    <w:p w:rsidR="00486BC0" w:rsidRDefault="00486BC0" w:rsidP="00486BC0">
      <w:pPr>
        <w:jc w:val="center"/>
        <w:rPr>
          <w:sz w:val="28"/>
          <w:szCs w:val="28"/>
        </w:rPr>
      </w:pPr>
    </w:p>
    <w:p w:rsidR="00486BC0" w:rsidRDefault="00486BC0" w:rsidP="00486BC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486BC0" w:rsidRDefault="00486BC0" w:rsidP="00486BC0">
      <w:pPr>
        <w:jc w:val="center"/>
        <w:rPr>
          <w:sz w:val="28"/>
          <w:szCs w:val="28"/>
        </w:rPr>
      </w:pPr>
    </w:p>
    <w:p w:rsidR="00486BC0" w:rsidRDefault="00486BC0" w:rsidP="00486BC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Об утверждении Программы </w:t>
      </w:r>
      <w:r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регионального государственного строительного надзора на 2022 год</w:t>
      </w: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31.07.2020 № 248-ФЗ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                 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b/>
          <w:sz w:val="28"/>
          <w:szCs w:val="28"/>
        </w:rPr>
        <w:t>п р и к а з ы в а ю</w:t>
      </w:r>
      <w:r>
        <w:rPr>
          <w:sz w:val="28"/>
          <w:szCs w:val="28"/>
        </w:rPr>
        <w:t>:</w:t>
      </w: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строительного надзора на 2022 год (далее – Программа) (прилагается).</w:t>
      </w: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Службы государственного строительного надзора Ивановской области в информационно-телекоммуникационной сети «Интернет» настоящий приказ.</w:t>
      </w: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Ознакомить ответственных исполнителей с мероприятиями Программы под роспись.</w:t>
      </w:r>
    </w:p>
    <w:p w:rsidR="00486BC0" w:rsidRDefault="00486BC0" w:rsidP="00486BC0">
      <w:pPr>
        <w:tabs>
          <w:tab w:val="left" w:pos="992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486BC0" w:rsidRDefault="00486BC0" w:rsidP="00486BC0">
      <w:pPr>
        <w:jc w:val="both"/>
        <w:rPr>
          <w:sz w:val="28"/>
          <w:szCs w:val="28"/>
        </w:rPr>
      </w:pPr>
    </w:p>
    <w:p w:rsidR="00486BC0" w:rsidRDefault="00486BC0" w:rsidP="00486BC0">
      <w:pPr>
        <w:ind w:firstLine="709"/>
        <w:jc w:val="both"/>
        <w:rPr>
          <w:sz w:val="28"/>
          <w:szCs w:val="28"/>
        </w:rPr>
      </w:pPr>
    </w:p>
    <w:p w:rsidR="00486BC0" w:rsidRDefault="00486BC0" w:rsidP="00486BC0">
      <w:pPr>
        <w:ind w:firstLine="709"/>
        <w:jc w:val="both"/>
        <w:rPr>
          <w:sz w:val="28"/>
          <w:szCs w:val="28"/>
        </w:rPr>
      </w:pPr>
    </w:p>
    <w:p w:rsidR="00486BC0" w:rsidRDefault="00486BC0" w:rsidP="00486BC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службы                                                                     А.А. Воеводин</w:t>
      </w:r>
    </w:p>
    <w:p w:rsidR="00486BC0" w:rsidRDefault="00486BC0" w:rsidP="00486BC0">
      <w:pPr>
        <w:rPr>
          <w:sz w:val="28"/>
          <w:szCs w:val="28"/>
        </w:rPr>
        <w:sectPr w:rsidR="00486BC0">
          <w:pgSz w:w="12240" w:h="15840"/>
          <w:pgMar w:top="426" w:right="1394" w:bottom="818" w:left="1922" w:header="720" w:footer="720" w:gutter="0"/>
          <w:cols w:space="720"/>
        </w:sectPr>
      </w:pPr>
    </w:p>
    <w:p w:rsidR="00486BC0" w:rsidRDefault="00486BC0" w:rsidP="00486BC0">
      <w:pPr>
        <w:jc w:val="right"/>
        <w:rPr>
          <w:sz w:val="28"/>
        </w:rPr>
      </w:pPr>
      <w:r>
        <w:rPr>
          <w:sz w:val="28"/>
        </w:rPr>
        <w:lastRenderedPageBreak/>
        <w:t>Приложение к</w:t>
      </w:r>
    </w:p>
    <w:p w:rsidR="00486BC0" w:rsidRDefault="00486BC0" w:rsidP="00486BC0">
      <w:pPr>
        <w:jc w:val="right"/>
        <w:rPr>
          <w:sz w:val="28"/>
        </w:rPr>
      </w:pPr>
      <w:proofErr w:type="gramStart"/>
      <w:r>
        <w:rPr>
          <w:sz w:val="28"/>
        </w:rPr>
        <w:t>приказу</w:t>
      </w:r>
      <w:proofErr w:type="gramEnd"/>
      <w:r>
        <w:rPr>
          <w:sz w:val="28"/>
        </w:rPr>
        <w:t xml:space="preserve"> Службы </w:t>
      </w:r>
    </w:p>
    <w:p w:rsidR="00486BC0" w:rsidRDefault="00486BC0" w:rsidP="00486BC0">
      <w:pPr>
        <w:jc w:val="right"/>
        <w:rPr>
          <w:sz w:val="28"/>
        </w:rPr>
      </w:pPr>
      <w:proofErr w:type="gramStart"/>
      <w:r>
        <w:rPr>
          <w:sz w:val="28"/>
        </w:rPr>
        <w:t>государственного</w:t>
      </w:r>
      <w:proofErr w:type="gramEnd"/>
      <w:r>
        <w:rPr>
          <w:sz w:val="28"/>
        </w:rPr>
        <w:t xml:space="preserve"> строительного </w:t>
      </w:r>
    </w:p>
    <w:p w:rsidR="00486BC0" w:rsidRDefault="00486BC0" w:rsidP="00486BC0">
      <w:pPr>
        <w:jc w:val="right"/>
        <w:rPr>
          <w:sz w:val="28"/>
        </w:rPr>
      </w:pPr>
      <w:proofErr w:type="gramStart"/>
      <w:r>
        <w:rPr>
          <w:sz w:val="28"/>
        </w:rPr>
        <w:t>надзора</w:t>
      </w:r>
      <w:proofErr w:type="gramEnd"/>
      <w:r>
        <w:rPr>
          <w:sz w:val="28"/>
        </w:rPr>
        <w:t xml:space="preserve"> Ивановской области </w:t>
      </w:r>
    </w:p>
    <w:p w:rsidR="00486BC0" w:rsidRDefault="00486BC0" w:rsidP="00486BC0">
      <w:pPr>
        <w:jc w:val="right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____________ № _____</w:t>
      </w:r>
    </w:p>
    <w:p w:rsidR="00486BC0" w:rsidRDefault="00486BC0" w:rsidP="00486BC0">
      <w:pPr>
        <w:rPr>
          <w:sz w:val="28"/>
        </w:rPr>
      </w:pPr>
    </w:p>
    <w:p w:rsidR="00486BC0" w:rsidRDefault="00486BC0" w:rsidP="00486BC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 Р О Г Р А М </w:t>
      </w:r>
      <w:proofErr w:type="spellStart"/>
      <w:r>
        <w:rPr>
          <w:rFonts w:eastAsia="Calibri"/>
          <w:b/>
          <w:sz w:val="28"/>
          <w:szCs w:val="28"/>
          <w:lang w:eastAsia="en-US"/>
        </w:rPr>
        <w:t>М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А</w:t>
      </w:r>
    </w:p>
    <w:p w:rsidR="00486BC0" w:rsidRDefault="00486BC0" w:rsidP="00486BC0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профилактики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регионального государственного строительного надзора на 2022 год</w:t>
      </w:r>
    </w:p>
    <w:p w:rsidR="00486BC0" w:rsidRDefault="00486BC0" w:rsidP="00486BC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регионального государственного строительного надзора на 2022 год (далее - Программа профилактики) разработана </w:t>
      </w:r>
      <w:r>
        <w:rPr>
          <w:rFonts w:eastAsia="Calibri"/>
          <w:sz w:val="28"/>
          <w:szCs w:val="28"/>
          <w:lang w:eastAsia="en-US"/>
        </w:rPr>
        <w:t xml:space="preserve">Службой государственного строительного надзора Ивановской области </w:t>
      </w:r>
      <w:r>
        <w:rPr>
          <w:sz w:val="28"/>
          <w:szCs w:val="28"/>
        </w:rPr>
        <w:t>(далее - Служба) на основании:</w:t>
      </w:r>
    </w:p>
    <w:p w:rsidR="00486BC0" w:rsidRDefault="00486BC0" w:rsidP="00486B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статьи 44 Федерального закона от 31.07.2020 № 248-ФЗ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>
        <w:rPr>
          <w:rFonts w:eastAsia="Calibri"/>
          <w:sz w:val="28"/>
          <w:szCs w:val="28"/>
          <w:lang w:eastAsia="en-US"/>
        </w:rPr>
        <w:t xml:space="preserve">О государственном контроле (надзоре) и муниципальном контроле в Российской Федерации» (далее -  Федеральный закон № 248-ФЗ); </w:t>
      </w:r>
    </w:p>
    <w:p w:rsidR="00486BC0" w:rsidRDefault="00486BC0" w:rsidP="00486BC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486BC0" w:rsidRDefault="00486BC0" w:rsidP="00486BC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BC0" w:rsidRDefault="00486BC0" w:rsidP="00486BC0">
      <w:pPr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Анализ текущего состояния осуществления регионального государственного строительного надзора, описание текущего развития профилактической деятельности Службы, характеристика </w:t>
      </w:r>
      <w:proofErr w:type="gramStart"/>
      <w:r>
        <w:rPr>
          <w:b/>
          <w:sz w:val="28"/>
          <w:szCs w:val="28"/>
        </w:rPr>
        <w:t xml:space="preserve">проблем,   </w:t>
      </w:r>
      <w:proofErr w:type="gramEnd"/>
      <w:r>
        <w:rPr>
          <w:b/>
          <w:sz w:val="28"/>
          <w:szCs w:val="28"/>
        </w:rPr>
        <w:t xml:space="preserve">                     на решение которых направлена программа профилактики.</w:t>
      </w:r>
    </w:p>
    <w:p w:rsidR="00486BC0" w:rsidRDefault="00486BC0" w:rsidP="00486BC0">
      <w:pPr>
        <w:tabs>
          <w:tab w:val="left" w:pos="0"/>
          <w:tab w:val="left" w:pos="28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486BC0" w:rsidRDefault="00486BC0" w:rsidP="00486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государственный строительный надзор осуществляется Службой в случаях, предусмотренных Градостроительным кодексом Российской Федерации (далее –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РФ).</w:t>
      </w:r>
    </w:p>
    <w:p w:rsidR="00486BC0" w:rsidRDefault="00486BC0" w:rsidP="00486B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регионального государственного строительного надзора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строительстве, реконструкции объектов капитального строительства, указанных в </w:t>
      </w:r>
      <w:hyperlink r:id="rId6" w:history="1">
        <w:r>
          <w:rPr>
            <w:rStyle w:val="a3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статьи 54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осуществляется федеральный государственный пожарный надзор, федеральный государственный санитарно-эпидемиологический контроль (надзор), государственный экологический контроль (надзор), за исключением случаев, предусмотренных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надзорной деятельности представлены следующие основные количественные показатели: </w:t>
      </w:r>
    </w:p>
    <w:p w:rsidR="00486BC0" w:rsidRDefault="00486BC0" w:rsidP="00486BC0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состоянию на 01.10.2021 года Службой осуществляется региональный государственный строительный надзор в отношении 179 объектов капитального строительства, </w:t>
      </w:r>
      <w:r>
        <w:rPr>
          <w:sz w:val="28"/>
          <w:szCs w:val="28"/>
        </w:rPr>
        <w:t xml:space="preserve">указанных в </w:t>
      </w:r>
      <w:hyperlink r:id="rId7" w:history="1">
        <w:r>
          <w:rPr>
            <w:rStyle w:val="a3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статьи 54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РФ.</w:t>
      </w:r>
    </w:p>
    <w:p w:rsidR="00486BC0" w:rsidRDefault="00486BC0" w:rsidP="00486BC0">
      <w:pPr>
        <w:tabs>
          <w:tab w:val="left" w:pos="0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6BC0" w:rsidRDefault="00486BC0" w:rsidP="00486BC0">
      <w:pPr>
        <w:tabs>
          <w:tab w:val="left" w:pos="0"/>
          <w:tab w:val="left" w:pos="28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0"/>
        <w:gridCol w:w="2165"/>
      </w:tblGrid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Количественный показатель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Общее количество объектов, в отношении которых осуществляется надзор в соответствии с ч.1 ст.54 </w:t>
            </w:r>
            <w:proofErr w:type="spellStart"/>
            <w:r>
              <w:rPr>
                <w:sz w:val="28"/>
              </w:rPr>
              <w:t>ГрК</w:t>
            </w:r>
            <w:proofErr w:type="spellEnd"/>
            <w:r>
              <w:rPr>
                <w:sz w:val="28"/>
              </w:rPr>
              <w:t xml:space="preserve"> РФ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Общее количество проведенных проверок (ч.1 ст.54 </w:t>
            </w:r>
            <w:proofErr w:type="spellStart"/>
            <w:r>
              <w:rPr>
                <w:sz w:val="28"/>
              </w:rPr>
              <w:t>ГрК</w:t>
            </w:r>
            <w:proofErr w:type="spellEnd"/>
            <w:r>
              <w:rPr>
                <w:sz w:val="28"/>
              </w:rPr>
              <w:t xml:space="preserve"> РФ)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232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Общее количество выявленных нарушений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Общее количество выданных предписаний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Доля устраненных нарушений от выявленных, %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Общее количество выявленных административных правонарушений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Общее количество выданных заключений о соответствии построенного (реконструированного) объекта требованиям проектной документации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486BC0" w:rsidTr="00486BC0">
        <w:trPr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rStyle w:val="a4"/>
                <w:rFonts w:eastAsia="Calibri"/>
                <w:i w:val="0"/>
                <w:sz w:val="28"/>
              </w:rPr>
              <w:t>Общее количество выданных</w:t>
            </w:r>
            <w:r>
              <w:rPr>
                <w:rFonts w:eastAsia="Calibri"/>
                <w:iCs/>
                <w:sz w:val="28"/>
              </w:rPr>
              <w:t xml:space="preserve"> субъектам строительной </w:t>
            </w:r>
            <w:proofErr w:type="gramStart"/>
            <w:r>
              <w:rPr>
                <w:rFonts w:eastAsia="Calibri"/>
                <w:iCs/>
                <w:sz w:val="28"/>
              </w:rPr>
              <w:t xml:space="preserve">деятельности  </w:t>
            </w:r>
            <w:r>
              <w:rPr>
                <w:rStyle w:val="a4"/>
                <w:rFonts w:eastAsia="Calibri"/>
                <w:i w:val="0"/>
                <w:sz w:val="28"/>
              </w:rPr>
              <w:t>предостережений</w:t>
            </w:r>
            <w:proofErr w:type="gramEnd"/>
            <w:r>
              <w:rPr>
                <w:rStyle w:val="a4"/>
                <w:rFonts w:eastAsia="Calibri"/>
                <w:i w:val="0"/>
                <w:sz w:val="28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6BC0" w:rsidRDefault="00486B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486BC0" w:rsidRDefault="00486BC0" w:rsidP="00486BC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486BC0" w:rsidRDefault="00486BC0" w:rsidP="00486BC0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видами нарушений, выявленных в рамках осуществления регионального государственного строительного надзора, являются:</w:t>
      </w:r>
    </w:p>
    <w:p w:rsidR="00486BC0" w:rsidRDefault="00486BC0" w:rsidP="00486BC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отсутствие</w:t>
      </w:r>
      <w:proofErr w:type="gramEnd"/>
      <w:r>
        <w:rPr>
          <w:color w:val="000000"/>
          <w:sz w:val="28"/>
          <w:szCs w:val="28"/>
        </w:rPr>
        <w:t xml:space="preserve"> разрешения на строительство (реконструкцию) объектов капитального строительства;</w:t>
      </w:r>
    </w:p>
    <w:p w:rsidR="00486BC0" w:rsidRDefault="00486BC0" w:rsidP="00486BC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отступление</w:t>
      </w:r>
      <w:proofErr w:type="gramEnd"/>
      <w:r>
        <w:rPr>
          <w:rFonts w:eastAsia="Calibri"/>
          <w:sz w:val="28"/>
          <w:szCs w:val="28"/>
        </w:rPr>
        <w:t xml:space="preserve"> от требований проектной документации, получившей положительное заключение экспертизы;</w:t>
      </w:r>
    </w:p>
    <w:p w:rsidR="00486BC0" w:rsidRDefault="00486BC0" w:rsidP="00486BC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нарушение</w:t>
      </w:r>
      <w:proofErr w:type="gramEnd"/>
      <w:r>
        <w:rPr>
          <w:color w:val="000000"/>
          <w:sz w:val="28"/>
          <w:szCs w:val="28"/>
        </w:rPr>
        <w:t xml:space="preserve"> сроков направления в Службу извещений о начале строительства (реконструкции) объектов капитального строительства;</w:t>
      </w:r>
    </w:p>
    <w:p w:rsidR="00486BC0" w:rsidRDefault="00486BC0" w:rsidP="00486BC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нарушения</w:t>
      </w:r>
      <w:proofErr w:type="gramEnd"/>
      <w:r>
        <w:rPr>
          <w:rFonts w:eastAsia="Calibri"/>
          <w:sz w:val="28"/>
          <w:szCs w:val="28"/>
        </w:rPr>
        <w:t xml:space="preserve"> при ведении исполнительной документации;</w:t>
      </w:r>
    </w:p>
    <w:p w:rsidR="00486BC0" w:rsidRDefault="00486BC0" w:rsidP="00486BC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отсутствие</w:t>
      </w:r>
      <w:proofErr w:type="gramEnd"/>
      <w:r>
        <w:rPr>
          <w:rFonts w:eastAsia="Calibri"/>
          <w:sz w:val="28"/>
          <w:szCs w:val="28"/>
        </w:rPr>
        <w:t xml:space="preserve"> или ненадлежащее осуществление строительного контроля на объекте.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2021 году профилактические мероприятия проводятся в соответствии                     с Программой профилактики</w:t>
      </w:r>
      <w:r>
        <w:rPr>
          <w:sz w:val="28"/>
          <w:szCs w:val="28"/>
        </w:rPr>
        <w:t xml:space="preserve"> нарушений обязательных требований, разработанной на текущий год и размещенной на официальном сайте Службы                в сети «Интернет» (https://gsn.ivanovoobl.ru/).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Программы Службой проведены следующие профилактические мероприятия: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 на официальном сайте Службы в сети «Интернет» перечень нормативных правовых актов, содержащий обязательные требования, соблюдение которых оценивается при проведении надзорных мероприятий в рамках осуществления регионального государственного строительного надзора, а также текстов таких актов;  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проводилась разъяснительная работа с подконтрольными субъектами посредствам личных приемов, размещения информации на сайте Службы, иными способами; 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размещены на официальном сайте Службы в сети «Интернет» комментарии о содержании новых нормативных правовых актах, руководство              по </w:t>
      </w:r>
      <w:r>
        <w:rPr>
          <w:sz w:val="28"/>
          <w:szCs w:val="28"/>
        </w:rPr>
        <w:lastRenderedPageBreak/>
        <w:t>соблюдению обязательных требований, обзор правоприменительной практики контрольно-надзорной деятельности Службы.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</w:p>
    <w:p w:rsidR="00486BC0" w:rsidRDefault="00486BC0" w:rsidP="00486BC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реализации Программы профилактики.</w:t>
      </w:r>
    </w:p>
    <w:p w:rsidR="00486BC0" w:rsidRDefault="00486BC0" w:rsidP="00486BC0">
      <w:pPr>
        <w:ind w:left="1069"/>
        <w:rPr>
          <w:b/>
          <w:sz w:val="28"/>
          <w:szCs w:val="28"/>
        </w:rPr>
      </w:pP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86BC0" w:rsidRDefault="00486BC0" w:rsidP="00486BC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стимулирование</w:t>
      </w:r>
      <w:proofErr w:type="gramEnd"/>
      <w:r>
        <w:rPr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486BC0" w:rsidRDefault="00486BC0" w:rsidP="00486BC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устранение</w:t>
      </w:r>
      <w:proofErr w:type="gramEnd"/>
      <w:r>
        <w:rPr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86BC0" w:rsidRDefault="00486BC0" w:rsidP="00486BC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создание</w:t>
      </w:r>
      <w:proofErr w:type="gramEnd"/>
      <w:r>
        <w:rPr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6BC0" w:rsidRDefault="00486BC0" w:rsidP="00486BC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предотвращение</w:t>
      </w:r>
      <w:proofErr w:type="gramEnd"/>
      <w:r>
        <w:rPr>
          <w:sz w:val="28"/>
          <w:szCs w:val="28"/>
        </w:rPr>
        <w:t xml:space="preserve"> риска причинения вреда и снижения уровня ущерба вследствие нарушений обязательных требований;</w:t>
      </w:r>
    </w:p>
    <w:p w:rsidR="00486BC0" w:rsidRDefault="00486BC0" w:rsidP="00486BC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повышение</w:t>
      </w:r>
      <w:proofErr w:type="gramEnd"/>
      <w:r>
        <w:rPr>
          <w:sz w:val="28"/>
          <w:szCs w:val="28"/>
        </w:rPr>
        <w:t xml:space="preserve"> прозрачности осуществления регионального государственного строительного надзора;</w:t>
      </w:r>
    </w:p>
    <w:p w:rsidR="00486BC0" w:rsidRDefault="00486BC0" w:rsidP="00486BC0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моделей социально ответственного, добросовестного правового поведения контролируемых лиц.</w:t>
      </w:r>
    </w:p>
    <w:p w:rsidR="00486BC0" w:rsidRDefault="00486BC0" w:rsidP="00486BC0">
      <w:pPr>
        <w:ind w:firstLine="709"/>
        <w:jc w:val="both"/>
        <w:rPr>
          <w:sz w:val="28"/>
          <w:szCs w:val="28"/>
        </w:rPr>
      </w:pPr>
    </w:p>
    <w:p w:rsidR="00486BC0" w:rsidRDefault="00486BC0" w:rsidP="00486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486BC0" w:rsidRDefault="00486BC0" w:rsidP="00486BC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выявление</w:t>
      </w:r>
      <w:proofErr w:type="gramEnd"/>
      <w:r>
        <w:rPr>
          <w:sz w:val="28"/>
          <w:szCs w:val="28"/>
        </w:rPr>
        <w:t xml:space="preserve">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реализации;</w:t>
      </w:r>
    </w:p>
    <w:p w:rsidR="00486BC0" w:rsidRDefault="00486BC0" w:rsidP="00486BC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формирование</w:t>
      </w:r>
      <w:proofErr w:type="gramEnd"/>
      <w:r>
        <w:rPr>
          <w:sz w:val="28"/>
          <w:szCs w:val="28"/>
        </w:rPr>
        <w:t xml:space="preserve"> и внедрение новых средств и методов взаимодействия с контролируемыми лицами;</w:t>
      </w:r>
      <w:r>
        <w:rPr>
          <w:rFonts w:eastAsia="Calibri"/>
          <w:sz w:val="28"/>
          <w:szCs w:val="28"/>
        </w:rPr>
        <w:t xml:space="preserve"> </w:t>
      </w:r>
    </w:p>
    <w:p w:rsidR="00486BC0" w:rsidRDefault="00486BC0" w:rsidP="00486BC0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оценка</w:t>
      </w:r>
      <w:proofErr w:type="gramEnd"/>
      <w:r>
        <w:rPr>
          <w:rFonts w:eastAsia="Calibri"/>
          <w:sz w:val="28"/>
          <w:szCs w:val="28"/>
        </w:rPr>
        <w:t xml:space="preserve"> влияния видов и интенсивности профилактических мероприятий на эффективность профилактической работы;</w:t>
      </w:r>
    </w:p>
    <w:p w:rsidR="00486BC0" w:rsidRDefault="00486BC0" w:rsidP="00486BC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повышение уровня правовой грамотности контролируемых лиц и формирование единообразного понимания установленных требований.</w:t>
      </w:r>
    </w:p>
    <w:p w:rsidR="00486BC0" w:rsidRDefault="00486BC0" w:rsidP="00486BC0">
      <w:pPr>
        <w:tabs>
          <w:tab w:val="left" w:pos="1134"/>
        </w:tabs>
        <w:spacing w:after="200" w:line="276" w:lineRule="auto"/>
        <w:ind w:right="-2"/>
        <w:contextualSpacing/>
        <w:jc w:val="both"/>
        <w:rPr>
          <w:b/>
          <w:sz w:val="28"/>
          <w:szCs w:val="28"/>
        </w:rPr>
      </w:pPr>
    </w:p>
    <w:p w:rsidR="00486BC0" w:rsidRDefault="00486BC0" w:rsidP="00486BC0">
      <w:pPr>
        <w:spacing w:line="276" w:lineRule="auto"/>
        <w:rPr>
          <w:b/>
          <w:sz w:val="28"/>
          <w:szCs w:val="28"/>
        </w:rPr>
        <w:sectPr w:rsidR="00486BC0">
          <w:pgSz w:w="11906" w:h="16838"/>
          <w:pgMar w:top="1134" w:right="567" w:bottom="1134" w:left="1418" w:header="709" w:footer="709" w:gutter="0"/>
          <w:cols w:space="720"/>
        </w:sectPr>
      </w:pPr>
    </w:p>
    <w:p w:rsidR="00486BC0" w:rsidRDefault="00486BC0" w:rsidP="00486BC0">
      <w:pPr>
        <w:numPr>
          <w:ilvl w:val="0"/>
          <w:numId w:val="5"/>
        </w:numPr>
        <w:spacing w:after="200" w:line="276" w:lineRule="auto"/>
        <w:ind w:right="-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Перечень профилактических мероприятий на 2022 год.</w:t>
      </w:r>
    </w:p>
    <w:tbl>
      <w:tblPr>
        <w:tblW w:w="151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220"/>
        <w:gridCol w:w="2977"/>
        <w:gridCol w:w="3402"/>
      </w:tblGrid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Ответственные исполнители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Сроки исполнения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/>
              <w:jc w:val="both"/>
            </w:pPr>
            <w:r>
              <w:rPr>
                <w:rFonts w:eastAsia="Calibri"/>
              </w:rPr>
              <w:t>Размещение (актуализация) сведений, предусмотренных частью 3 статьи 46 Федерального закона № 248-ФЗ на официальном сайте Службы в информационно-телекоммуникационной сети «Интернет».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заместитель</w:t>
            </w:r>
            <w:proofErr w:type="gramEnd"/>
            <w:r>
              <w:rPr>
                <w:rFonts w:eastAsia="Calibri"/>
              </w:rPr>
              <w:t xml:space="preserve"> начальника отдела по надзору за строительством Службы, </w:t>
            </w: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по мере необходимости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Размещение сведений по вопросам соблюдения обязательных требований в средствам массовой информации.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заместитель</w:t>
            </w:r>
            <w:proofErr w:type="gramEnd"/>
            <w:r>
              <w:rPr>
                <w:rFonts w:eastAsia="Calibri"/>
              </w:rPr>
              <w:t xml:space="preserve"> начальника отдела по надзору за строительством Службы, </w:t>
            </w: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по мере необходимости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Размещение сведений по вопросам соблюдения обязательных требований через личные кабинеты контролируемых лиц в государственных информационных системах (при их наличии).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заместитель</w:t>
            </w:r>
            <w:proofErr w:type="gramEnd"/>
            <w:r>
              <w:rPr>
                <w:rFonts w:eastAsia="Calibri"/>
              </w:rPr>
              <w:t xml:space="preserve"> начальника отдела по надзору за строительством Службы, </w:t>
            </w:r>
          </w:p>
          <w:p w:rsidR="00486BC0" w:rsidRDefault="00486BC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по мере необходимости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tabs>
                <w:tab w:val="left" w:pos="3135"/>
              </w:tabs>
              <w:spacing w:before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Обобщение правоприменительной практики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tabs>
                <w:tab w:val="left" w:pos="1260"/>
              </w:tabs>
              <w:spacing w:before="60"/>
              <w:jc w:val="both"/>
            </w:pPr>
            <w:r>
              <w:t>Подготовка проекта доклада, содержащего результаты обобщения правоприменительной практики Службы за 2021 год (далее – доклад).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отдел</w:t>
            </w:r>
            <w:proofErr w:type="gramEnd"/>
            <w:r>
              <w:rPr>
                <w:rFonts w:eastAsia="Calibri"/>
              </w:rPr>
              <w:t xml:space="preserve"> по надзору за строительством Службы,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 февраля 2022 года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tabs>
                <w:tab w:val="left" w:pos="1260"/>
              </w:tabs>
              <w:spacing w:before="60"/>
              <w:jc w:val="both"/>
            </w:pPr>
            <w:r>
              <w:t>Размещение проекта доклада на официальном сайте Службы в информационно-телекоммуникационной сети «Интернет».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заместитель</w:t>
            </w:r>
            <w:proofErr w:type="gramEnd"/>
            <w:r>
              <w:rPr>
                <w:rFonts w:eastAsia="Calibri"/>
              </w:rPr>
              <w:t xml:space="preserve"> начальника отдела по надзору за строительством Службы,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1 февраля 2022 года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tabs>
                <w:tab w:val="left" w:pos="1260"/>
              </w:tabs>
              <w:spacing w:before="60"/>
              <w:jc w:val="both"/>
            </w:pPr>
            <w:r>
              <w:t>Утверждение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 (исполняющий обязанности начальника Службы)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20 февраля 2022 года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2.4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tabs>
                <w:tab w:val="left" w:pos="1260"/>
              </w:tabs>
              <w:spacing w:before="60"/>
              <w:jc w:val="both"/>
            </w:pPr>
            <w:r>
              <w:t>Размещение доклада на официальном сайте Службы в информационно-телекоммуникационной сети «Интернет».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заместитель</w:t>
            </w:r>
            <w:proofErr w:type="gramEnd"/>
            <w:r>
              <w:rPr>
                <w:rFonts w:eastAsia="Calibri"/>
              </w:rPr>
              <w:t xml:space="preserve"> начальника отдела по надзору за строительством Службы,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позднее 20 февраля 2022 года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  <w:lang w:eastAsia="en-US"/>
              </w:rPr>
            </w:pPr>
            <w:r>
              <w:rPr>
                <w:b/>
                <w:bCs/>
              </w:rPr>
              <w:t>Объявление предостережения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/>
              <w:jc w:val="both"/>
              <w:outlineLvl w:val="0"/>
            </w:pPr>
            <w:r>
              <w:rPr>
                <w:bCs/>
              </w:rPr>
              <w:t xml:space="preserve">Объявление </w:t>
            </w:r>
            <w:r>
              <w:t>контролируемому лицу предостережения о недопустимости нарушения обязательных требований с предложением принять меры по обеспечению соблюдения обязательных требований.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Службы;</w:t>
            </w: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 начальника Службы – статс-секретарь,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 наличии сведений о готовящихся или возможных нарушениях обязательных требований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/>
              <w:jc w:val="both"/>
              <w:outlineLvl w:val="0"/>
              <w:rPr>
                <w:bCs/>
              </w:rPr>
            </w:pPr>
            <w:r>
              <w:rPr>
                <w:bCs/>
              </w:rPr>
              <w:t>Учет объявленных предостережений.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Службы;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отдел</w:t>
            </w:r>
            <w:proofErr w:type="gramEnd"/>
            <w:r>
              <w:rPr>
                <w:rFonts w:eastAsia="Calibri"/>
              </w:rPr>
              <w:t xml:space="preserve"> по надзору за строительством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 наличии сведений о готовящихся или возможных нарушениях обязательных требований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Консультирование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autoSpaceDE w:val="0"/>
              <w:autoSpaceDN w:val="0"/>
              <w:adjustRightInd w:val="0"/>
              <w:spacing w:before="60"/>
              <w:jc w:val="both"/>
            </w:pPr>
            <w:r>
              <w:t>Консультирование в устной форме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мероприятия.</w:t>
            </w:r>
          </w:p>
          <w:p w:rsidR="00486BC0" w:rsidRDefault="00486BC0">
            <w:pPr>
              <w:tabs>
                <w:tab w:val="left" w:pos="743"/>
              </w:tabs>
              <w:spacing w:before="60"/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Службы,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должностные</w:t>
            </w:r>
            <w:proofErr w:type="gramEnd"/>
            <w:r>
              <w:rPr>
                <w:rFonts w:eastAsia="Calibri"/>
              </w:rPr>
              <w:t xml:space="preserve"> лица отдела по надзору за строительством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 по мере поступления обращений от контролируемых лиц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tabs>
                <w:tab w:val="left" w:pos="1260"/>
              </w:tabs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Предоставление ответа в письменной форме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</w:rPr>
              <w:t>по итогам консультирования (</w:t>
            </w:r>
            <w:r>
              <w:rPr>
                <w:rFonts w:eastAsia="Calibri"/>
                <w:lang w:eastAsia="en-US"/>
              </w:rPr>
              <w:t>при запросе контролируемого лица (его представителя) о предоставлении письменного ответа на поставленные вопросы).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Службы,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Первый заместитель начальника Службы – статс-секретарь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 w:after="60"/>
              <w:jc w:val="both"/>
              <w:outlineLvl w:val="0"/>
              <w:rPr>
                <w:bCs/>
              </w:rPr>
            </w:pPr>
            <w:r>
              <w:rPr>
                <w:bCs/>
              </w:rPr>
              <w:t>Подготовка письменного разъяснения по однотипным обращениям от контролируемых лиц и их представителей.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Службы,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</w:rPr>
              <w:lastRenderedPageBreak/>
              <w:t>должностные</w:t>
            </w:r>
            <w:proofErr w:type="gramEnd"/>
            <w:r>
              <w:rPr>
                <w:rFonts w:eastAsia="Calibri"/>
              </w:rPr>
              <w:t xml:space="preserve"> лица отдела по надзору за строительством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течение 2022 года в случае, если в Службу поступит 5 и более однотипных обращений от контролируемых лиц </w:t>
            </w:r>
          </w:p>
          <w:p w:rsidR="00486BC0" w:rsidRDefault="00486BC0">
            <w:pPr>
              <w:spacing w:before="60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и</w:t>
            </w:r>
            <w:proofErr w:type="gramEnd"/>
            <w:r>
              <w:rPr>
                <w:rFonts w:eastAsia="Calibri"/>
                <w:lang w:eastAsia="en-US"/>
              </w:rPr>
              <w:t xml:space="preserve"> их представителей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/>
              <w:jc w:val="both"/>
            </w:pPr>
            <w:r>
              <w:t xml:space="preserve">Размещение на официальном сайте Службы в информационно-телекоммуникационной сети «Интернет» письменного разъяснения по однотипным обращениям от контролируемых лиц и их представителей.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заместитель</w:t>
            </w:r>
            <w:proofErr w:type="gramEnd"/>
            <w:r>
              <w:rPr>
                <w:rFonts w:eastAsia="Calibri"/>
              </w:rPr>
              <w:t xml:space="preserve"> начальника отдела по надзору за строительством Службы, </w:t>
            </w: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главный</w:t>
            </w:r>
            <w:proofErr w:type="gramEnd"/>
            <w:r>
              <w:rPr>
                <w:rFonts w:eastAsia="Calibri"/>
              </w:rPr>
              <w:t xml:space="preserve"> консультант — юрист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по мере необходимости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autoSpaceDE w:val="0"/>
              <w:autoSpaceDN w:val="0"/>
              <w:adjustRightInd w:val="0"/>
              <w:spacing w:before="60"/>
              <w:jc w:val="both"/>
            </w:pPr>
            <w:r>
              <w:t>Учет консультирований в журнале консультирования.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Службы,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должностные</w:t>
            </w:r>
            <w:proofErr w:type="gramEnd"/>
            <w:r>
              <w:rPr>
                <w:rFonts w:eastAsia="Calibri"/>
              </w:rPr>
              <w:t xml:space="preserve"> лица отдела по надзору за строительством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по мере необходимости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center"/>
              <w:rPr>
                <w:rFonts w:eastAsia="Calibri"/>
              </w:rPr>
            </w:pPr>
            <w:r>
              <w:rPr>
                <w:b/>
                <w:bCs/>
              </w:rPr>
              <w:t>Профилактический визит</w:t>
            </w:r>
          </w:p>
        </w:tc>
      </w:tr>
      <w:tr w:rsidR="00486BC0" w:rsidTr="00486B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widowControl w:val="0"/>
              <w:jc w:val="both"/>
            </w:pPr>
            <w:r>
              <w:t>Проведение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Начальник Службы,</w:t>
            </w: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Первый заместитель начальника Службы – статс-секретарь, </w:t>
            </w: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</w:p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должностные</w:t>
            </w:r>
            <w:proofErr w:type="gramEnd"/>
            <w:r>
              <w:rPr>
                <w:rFonts w:eastAsia="Calibri"/>
              </w:rPr>
              <w:t xml:space="preserve"> лица отдела по надзору за строительством Службы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C0" w:rsidRDefault="00486BC0">
            <w:pPr>
              <w:spacing w:before="60"/>
              <w:jc w:val="both"/>
              <w:rPr>
                <w:rFonts w:eastAsia="Calibri"/>
              </w:rPr>
            </w:pPr>
            <w:r>
              <w:t xml:space="preserve">В течение 3 месяцев со дня поступления в Службу </w:t>
            </w:r>
            <w:r>
              <w:rPr>
                <w:rFonts w:eastAsia="Calibri"/>
                <w:b/>
              </w:rPr>
              <w:br/>
            </w:r>
            <w:r>
              <w:t xml:space="preserve">от контролируемого лица извещения о начале работ по строительству, реконструкции объекта капитального строительства, направленного </w:t>
            </w:r>
            <w:r>
              <w:rPr>
                <w:rFonts w:eastAsia="Calibri"/>
                <w:b/>
              </w:rPr>
              <w:br/>
            </w:r>
            <w:r>
              <w:t xml:space="preserve">в соответствии с частью 5 статьи 52 </w:t>
            </w:r>
            <w:proofErr w:type="spellStart"/>
            <w:r>
              <w:t>ГрК</w:t>
            </w:r>
            <w:proofErr w:type="spellEnd"/>
            <w:r>
              <w:t xml:space="preserve"> РФ</w:t>
            </w:r>
          </w:p>
        </w:tc>
      </w:tr>
    </w:tbl>
    <w:p w:rsidR="00486BC0" w:rsidRDefault="00486BC0" w:rsidP="00486BC0">
      <w:pPr>
        <w:spacing w:line="276" w:lineRule="auto"/>
        <w:rPr>
          <w:rFonts w:eastAsia="Calibri"/>
          <w:b/>
          <w:sz w:val="28"/>
          <w:szCs w:val="28"/>
          <w:lang w:eastAsia="en-US"/>
        </w:rPr>
        <w:sectPr w:rsidR="00486BC0">
          <w:pgSz w:w="16838" w:h="11906" w:orient="landscape"/>
          <w:pgMar w:top="1276" w:right="1134" w:bottom="568" w:left="709" w:header="708" w:footer="708" w:gutter="0"/>
          <w:cols w:space="720"/>
        </w:sectPr>
      </w:pPr>
    </w:p>
    <w:p w:rsidR="00486BC0" w:rsidRDefault="00486BC0" w:rsidP="00486BC0">
      <w:pPr>
        <w:numPr>
          <w:ilvl w:val="0"/>
          <w:numId w:val="6"/>
        </w:numPr>
        <w:ind w:left="0" w:firstLine="709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Показатели результативности и эффективности программы профилактики рисков причинения вреда.</w:t>
      </w:r>
    </w:p>
    <w:p w:rsidR="00486BC0" w:rsidRDefault="00486BC0" w:rsidP="00486BC0">
      <w:pPr>
        <w:ind w:left="709"/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486BC0" w:rsidRDefault="00486BC0" w:rsidP="00486BC0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Для </w:t>
      </w:r>
      <w:r>
        <w:rPr>
          <w:sz w:val="28"/>
        </w:rPr>
        <w:t>оценки мероприятий по профилактике рисков причинения вреда и в целом Программы профилактики по итогам календарного года (с учетом достижения целей программы профилактики) используются следующие отчетные показатели:</w:t>
      </w:r>
    </w:p>
    <w:p w:rsidR="00486BC0" w:rsidRDefault="00486BC0" w:rsidP="00486BC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количество контролируемых лиц, с которыми проведены профилактические мероприятия </w:t>
      </w:r>
      <w:r>
        <w:rPr>
          <w:rFonts w:eastAsia="Calibri"/>
          <w:sz w:val="28"/>
          <w:szCs w:val="28"/>
          <w:lang w:eastAsia="en-US"/>
        </w:rPr>
        <w:t>(п</w:t>
      </w:r>
      <w:r>
        <w:rPr>
          <w:sz w:val="28"/>
          <w:szCs w:val="28"/>
        </w:rPr>
        <w:t>оказатель устанавливается в единицах);</w:t>
      </w:r>
    </w:p>
    <w:p w:rsidR="00486BC0" w:rsidRDefault="00486BC0" w:rsidP="00486BC0">
      <w:pPr>
        <w:tabs>
          <w:tab w:val="left" w:pos="126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 xml:space="preserve">количество проведенных профилактических мероприятий </w:t>
      </w:r>
      <w:r>
        <w:rPr>
          <w:rFonts w:eastAsia="Calibri"/>
          <w:sz w:val="28"/>
          <w:szCs w:val="28"/>
          <w:lang w:eastAsia="en-US"/>
        </w:rPr>
        <w:t>(п</w:t>
      </w:r>
      <w:r>
        <w:rPr>
          <w:sz w:val="28"/>
          <w:szCs w:val="28"/>
        </w:rPr>
        <w:t>оказатель устанавливается в единицах)</w:t>
      </w:r>
      <w:r>
        <w:rPr>
          <w:sz w:val="28"/>
        </w:rPr>
        <w:t>;</w:t>
      </w:r>
    </w:p>
    <w:p w:rsidR="00486BC0" w:rsidRDefault="00486BC0" w:rsidP="00486BC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доля контролируемых лиц, </w:t>
      </w:r>
      <w:r>
        <w:rPr>
          <w:rFonts w:eastAsia="Calibri"/>
          <w:sz w:val="28"/>
          <w:szCs w:val="28"/>
          <w:lang w:eastAsia="en-US"/>
        </w:rPr>
        <w:t>в отношении которых проведены профилактические мероприятия (п</w:t>
      </w:r>
      <w:r>
        <w:rPr>
          <w:sz w:val="28"/>
          <w:szCs w:val="28"/>
        </w:rPr>
        <w:t>оказатель устанавливается в процентах и определяется как отношение количества лиц</w:t>
      </w:r>
      <w:r>
        <w:rPr>
          <w:rFonts w:eastAsia="Calibri"/>
          <w:sz w:val="28"/>
          <w:szCs w:val="28"/>
          <w:lang w:eastAsia="en-US"/>
        </w:rPr>
        <w:t xml:space="preserve">, в отношении которых проведены профилактические мероприятия, к общему количеству лиц, деятельность которых подлежит региональному государственному строительному надзору со стороны Инспекции, </w:t>
      </w:r>
      <w:r>
        <w:rPr>
          <w:sz w:val="28"/>
          <w:szCs w:val="28"/>
        </w:rPr>
        <w:t>умноженное на 100).</w:t>
      </w:r>
    </w:p>
    <w:p w:rsidR="00486BC0" w:rsidRDefault="00486BC0" w:rsidP="00486BC0">
      <w:pPr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486BC0" w:rsidRDefault="00486BC0" w:rsidP="00486BC0">
      <w:pPr>
        <w:spacing w:before="120"/>
        <w:ind w:firstLine="709"/>
        <w:jc w:val="center"/>
        <w:rPr>
          <w:sz w:val="28"/>
        </w:rPr>
      </w:pPr>
    </w:p>
    <w:p w:rsidR="002867AE" w:rsidRDefault="002867AE">
      <w:bookmarkStart w:id="0" w:name="_GoBack"/>
      <w:bookmarkEnd w:id="0"/>
    </w:p>
    <w:sectPr w:rsidR="0028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C8F"/>
    <w:multiLevelType w:val="hybridMultilevel"/>
    <w:tmpl w:val="DCB6B08A"/>
    <w:lvl w:ilvl="0" w:tplc="EDA680E8">
      <w:start w:val="1"/>
      <w:numFmt w:val="decimal"/>
      <w:lvlText w:val="%1)"/>
      <w:lvlJc w:val="left"/>
      <w:pPr>
        <w:ind w:left="1999" w:hanging="12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32210"/>
    <w:multiLevelType w:val="hybridMultilevel"/>
    <w:tmpl w:val="B4244270"/>
    <w:lvl w:ilvl="0" w:tplc="7770AA1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7A4EF7"/>
    <w:multiLevelType w:val="hybridMultilevel"/>
    <w:tmpl w:val="64883CE4"/>
    <w:lvl w:ilvl="0" w:tplc="1D92E1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8B7100"/>
    <w:multiLevelType w:val="hybridMultilevel"/>
    <w:tmpl w:val="70A6FDFC"/>
    <w:lvl w:ilvl="0" w:tplc="F60E110C">
      <w:start w:val="4"/>
      <w:numFmt w:val="decimal"/>
      <w:lvlText w:val="%1."/>
      <w:lvlJc w:val="left"/>
      <w:pPr>
        <w:ind w:left="1648" w:hanging="360"/>
      </w:p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>
      <w:start w:val="1"/>
      <w:numFmt w:val="lowerRoman"/>
      <w:lvlText w:val="%3."/>
      <w:lvlJc w:val="right"/>
      <w:pPr>
        <w:ind w:left="3088" w:hanging="180"/>
      </w:pPr>
    </w:lvl>
    <w:lvl w:ilvl="3" w:tplc="0419000F">
      <w:start w:val="1"/>
      <w:numFmt w:val="decimal"/>
      <w:lvlText w:val="%4."/>
      <w:lvlJc w:val="left"/>
      <w:pPr>
        <w:ind w:left="3808" w:hanging="360"/>
      </w:pPr>
    </w:lvl>
    <w:lvl w:ilvl="4" w:tplc="04190019">
      <w:start w:val="1"/>
      <w:numFmt w:val="lowerLetter"/>
      <w:lvlText w:val="%5."/>
      <w:lvlJc w:val="left"/>
      <w:pPr>
        <w:ind w:left="4528" w:hanging="360"/>
      </w:pPr>
    </w:lvl>
    <w:lvl w:ilvl="5" w:tplc="0419001B">
      <w:start w:val="1"/>
      <w:numFmt w:val="lowerRoman"/>
      <w:lvlText w:val="%6."/>
      <w:lvlJc w:val="right"/>
      <w:pPr>
        <w:ind w:left="5248" w:hanging="180"/>
      </w:pPr>
    </w:lvl>
    <w:lvl w:ilvl="6" w:tplc="0419000F">
      <w:start w:val="1"/>
      <w:numFmt w:val="decimal"/>
      <w:lvlText w:val="%7."/>
      <w:lvlJc w:val="left"/>
      <w:pPr>
        <w:ind w:left="5968" w:hanging="360"/>
      </w:pPr>
    </w:lvl>
    <w:lvl w:ilvl="7" w:tplc="04190019">
      <w:start w:val="1"/>
      <w:numFmt w:val="lowerLetter"/>
      <w:lvlText w:val="%8."/>
      <w:lvlJc w:val="left"/>
      <w:pPr>
        <w:ind w:left="6688" w:hanging="360"/>
      </w:pPr>
    </w:lvl>
    <w:lvl w:ilvl="8" w:tplc="0419001B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72A740C9"/>
    <w:multiLevelType w:val="hybridMultilevel"/>
    <w:tmpl w:val="E7D8D9DA"/>
    <w:lvl w:ilvl="0" w:tplc="6868D6B2">
      <w:start w:val="1"/>
      <w:numFmt w:val="decimal"/>
      <w:lvlText w:val="%1)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862440"/>
    <w:multiLevelType w:val="hybridMultilevel"/>
    <w:tmpl w:val="0D50060A"/>
    <w:lvl w:ilvl="0" w:tplc="FC062E0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AF"/>
    <w:rsid w:val="002867AE"/>
    <w:rsid w:val="00486BC0"/>
    <w:rsid w:val="006344AF"/>
    <w:rsid w:val="006E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65171-A206-400C-955D-B9E75E08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BC0"/>
    <w:rPr>
      <w:color w:val="0000FF"/>
      <w:u w:val="single"/>
    </w:rPr>
  </w:style>
  <w:style w:type="character" w:styleId="a4">
    <w:name w:val="Emphasis"/>
    <w:basedOn w:val="a0"/>
    <w:uiPriority w:val="20"/>
    <w:qFormat/>
    <w:rsid w:val="00486B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249F02D92CA91AE8149D7E49252D449F9418ECE26DB994FA6742F6E655911E3903C73C215F7199C868484971BCE79FEE846B7494D0i51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249F02D92CA91AE8149D7E49252D449F9418ECE26DB994FA6742F6E655911E3903C73C215F7199C868484971BCE79FEE846B7494D0i51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2021-10-01T06:19:00Z</dcterms:created>
  <dcterms:modified xsi:type="dcterms:W3CDTF">2021-10-01T06:19:00Z</dcterms:modified>
</cp:coreProperties>
</file>