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8C4A" w14:textId="77777777" w:rsidR="00C15EBA" w:rsidRDefault="00E97107">
      <w:pPr>
        <w:pStyle w:val="a4"/>
        <w:spacing w:line="322" w:lineRule="exact"/>
        <w:ind w:left="1"/>
      </w:pPr>
      <w:r>
        <w:rPr>
          <w:spacing w:val="-2"/>
        </w:rPr>
        <w:t>ДОКЛАД</w:t>
      </w:r>
    </w:p>
    <w:p w14:paraId="2733F0C4" w14:textId="0F6FAAF9" w:rsidR="00C15EBA" w:rsidRDefault="00E97107">
      <w:pPr>
        <w:pStyle w:val="a4"/>
        <w:spacing w:line="242" w:lineRule="auto"/>
      </w:pPr>
      <w:r>
        <w:t>об</w:t>
      </w:r>
      <w:r>
        <w:rPr>
          <w:spacing w:val="-9"/>
        </w:rPr>
        <w:t xml:space="preserve"> </w:t>
      </w:r>
      <w:r>
        <w:t>антимонопольном</w:t>
      </w:r>
      <w:r>
        <w:rPr>
          <w:spacing w:val="-5"/>
        </w:rPr>
        <w:t xml:space="preserve"> </w:t>
      </w:r>
      <w:r>
        <w:t>комплаенсе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 w:rsidR="00BD7D34">
        <w:t>Службе государственного строительного надзора</w:t>
      </w:r>
      <w:r>
        <w:t xml:space="preserve"> Ивановской области за 202</w:t>
      </w:r>
      <w:r w:rsidR="00BD7D34">
        <w:t>5</w:t>
      </w:r>
      <w:r>
        <w:t xml:space="preserve"> год</w:t>
      </w:r>
    </w:p>
    <w:p w14:paraId="2CFE74BF" w14:textId="2D3F5E76" w:rsidR="00C15EBA" w:rsidRDefault="00E97107" w:rsidP="00D7499B">
      <w:pPr>
        <w:pStyle w:val="a3"/>
        <w:spacing w:before="313"/>
        <w:ind w:right="134"/>
      </w:pPr>
      <w:r>
        <w:t xml:space="preserve">При проведении оценки рисков нарушения </w:t>
      </w:r>
      <w:bookmarkStart w:id="0" w:name="_Hlk222133552"/>
      <w:r w:rsidR="00D7499B">
        <w:t xml:space="preserve">Службой государственного строительного надзора </w:t>
      </w:r>
      <w:r>
        <w:t>Ивановской</w:t>
      </w:r>
      <w:r w:rsidR="00D7499B">
        <w:t xml:space="preserve"> </w:t>
      </w:r>
      <w:r>
        <w:t>области</w:t>
      </w:r>
      <w:bookmarkEnd w:id="0"/>
      <w:r>
        <w:t xml:space="preserve"> (далее – </w:t>
      </w:r>
      <w:r w:rsidR="00D7499B">
        <w:t>Служба</w:t>
      </w:r>
      <w:r>
        <w:t xml:space="preserve">) </w:t>
      </w:r>
      <w:r w:rsidR="00D7499B">
        <w:t>а</w:t>
      </w:r>
      <w:r>
        <w:t xml:space="preserve">нтимонопольного законодательства, </w:t>
      </w:r>
      <w:r w:rsidR="00D7499B">
        <w:t xml:space="preserve">Службой </w:t>
      </w:r>
      <w:r>
        <w:t>проанализированы положения и требования действующего законодательства,</w:t>
      </w:r>
      <w:r w:rsidR="00462013"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Кодекса</w:t>
      </w:r>
      <w:r w:rsidR="00462013">
        <w:t xml:space="preserve"> </w:t>
      </w:r>
      <w:r>
        <w:t>Российской</w:t>
      </w:r>
      <w:r w:rsidR="00462013">
        <w:t xml:space="preserve"> </w:t>
      </w:r>
      <w:r>
        <w:t>Федерации об</w:t>
      </w:r>
      <w:r w:rsidR="00462013">
        <w:t xml:space="preserve"> </w:t>
      </w:r>
      <w:r>
        <w:t>административных</w:t>
      </w:r>
      <w:r>
        <w:rPr>
          <w:spacing w:val="80"/>
          <w:w w:val="150"/>
        </w:rPr>
        <w:t xml:space="preserve">  </w:t>
      </w:r>
      <w:r>
        <w:t>правонарушениях,</w:t>
      </w:r>
      <w:r w:rsidR="00462013">
        <w:rPr>
          <w:spacing w:val="80"/>
          <w:w w:val="150"/>
        </w:rPr>
        <w:t xml:space="preserve"> </w:t>
      </w:r>
      <w:r w:rsidR="00462013">
        <w:t>ф</w:t>
      </w:r>
      <w:r>
        <w:t>едеральных</w:t>
      </w:r>
      <w:r w:rsidR="00462013">
        <w:rPr>
          <w:spacing w:val="80"/>
          <w:w w:val="150"/>
        </w:rPr>
        <w:t xml:space="preserve"> </w:t>
      </w:r>
      <w:r>
        <w:t>законов от 26.07.2006</w:t>
      </w:r>
      <w:r>
        <w:rPr>
          <w:spacing w:val="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135-ФЗ</w:t>
      </w:r>
      <w:r>
        <w:rPr>
          <w:spacing w:val="3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защите</w:t>
      </w:r>
      <w:r>
        <w:rPr>
          <w:spacing w:val="3"/>
        </w:rPr>
        <w:t xml:space="preserve"> </w:t>
      </w:r>
      <w:r>
        <w:t>конкуренции»,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28.12.2013</w:t>
      </w:r>
      <w:r>
        <w:rPr>
          <w:spacing w:val="1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426-</w:t>
      </w:r>
      <w:r>
        <w:rPr>
          <w:spacing w:val="-5"/>
        </w:rPr>
        <w:t>ФЗ</w:t>
      </w:r>
      <w:r w:rsidR="00D7499B">
        <w:rPr>
          <w:spacing w:val="-5"/>
        </w:rPr>
        <w:t xml:space="preserve"> </w:t>
      </w:r>
      <w:r>
        <w:t>«О</w:t>
      </w:r>
      <w:r>
        <w:rPr>
          <w:spacing w:val="31"/>
        </w:rPr>
        <w:t xml:space="preserve">  </w:t>
      </w:r>
      <w:r>
        <w:t>специальной</w:t>
      </w:r>
      <w:r>
        <w:rPr>
          <w:spacing w:val="33"/>
        </w:rPr>
        <w:t xml:space="preserve">  </w:t>
      </w:r>
      <w:r>
        <w:t>оценки</w:t>
      </w:r>
      <w:r>
        <w:rPr>
          <w:spacing w:val="32"/>
        </w:rPr>
        <w:t xml:space="preserve">  </w:t>
      </w:r>
      <w:r>
        <w:t>условий</w:t>
      </w:r>
      <w:r>
        <w:rPr>
          <w:spacing w:val="33"/>
        </w:rPr>
        <w:t xml:space="preserve">  </w:t>
      </w:r>
      <w:r>
        <w:t>труда»</w:t>
      </w:r>
      <w:r>
        <w:rPr>
          <w:spacing w:val="32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05.04.2013</w:t>
      </w:r>
      <w:r>
        <w:rPr>
          <w:spacing w:val="33"/>
        </w:rPr>
        <w:t xml:space="preserve">  </w:t>
      </w:r>
      <w:r>
        <w:t>№</w:t>
      </w:r>
      <w:r>
        <w:rPr>
          <w:spacing w:val="33"/>
        </w:rPr>
        <w:t xml:space="preserve">  </w:t>
      </w:r>
      <w:r>
        <w:t>44-</w:t>
      </w:r>
      <w:r>
        <w:rPr>
          <w:spacing w:val="-5"/>
        </w:rPr>
        <w:t>ФЗ</w:t>
      </w:r>
      <w:r w:rsidR="00D7499B">
        <w:rPr>
          <w:spacing w:val="-5"/>
        </w:rPr>
        <w:t xml:space="preserve"> </w:t>
      </w:r>
      <w:r>
        <w:t>«О</w:t>
      </w:r>
      <w:r>
        <w:rPr>
          <w:spacing w:val="40"/>
        </w:rPr>
        <w:t xml:space="preserve">  </w:t>
      </w:r>
      <w:r>
        <w:t>контрактной</w:t>
      </w:r>
      <w:r>
        <w:rPr>
          <w:spacing w:val="40"/>
        </w:rPr>
        <w:t xml:space="preserve">  </w:t>
      </w:r>
      <w:r>
        <w:t>систем</w:t>
      </w:r>
      <w:r w:rsidR="00D7499B">
        <w:t>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сфере</w:t>
      </w:r>
      <w:r>
        <w:rPr>
          <w:spacing w:val="40"/>
        </w:rPr>
        <w:t xml:space="preserve">  </w:t>
      </w:r>
      <w:r>
        <w:t>закупок</w:t>
      </w:r>
      <w:r>
        <w:rPr>
          <w:spacing w:val="40"/>
        </w:rPr>
        <w:t xml:space="preserve">  </w:t>
      </w:r>
      <w:r>
        <w:t>товаров,</w:t>
      </w:r>
      <w:r>
        <w:rPr>
          <w:spacing w:val="40"/>
        </w:rPr>
        <w:t xml:space="preserve">  </w:t>
      </w:r>
      <w:r>
        <w:t>работ,</w:t>
      </w:r>
      <w:r>
        <w:rPr>
          <w:spacing w:val="40"/>
        </w:rPr>
        <w:t xml:space="preserve">  </w:t>
      </w:r>
      <w:r>
        <w:t>услуг для обеспечения государственных и муниципальных нужд».</w:t>
      </w:r>
    </w:p>
    <w:p w14:paraId="38D18938" w14:textId="262A98F0" w:rsidR="00C15EBA" w:rsidRDefault="00E97107">
      <w:pPr>
        <w:pStyle w:val="a3"/>
        <w:ind w:right="136"/>
      </w:pPr>
      <w:r>
        <w:t>Во</w:t>
      </w:r>
      <w:r>
        <w:rPr>
          <w:spacing w:val="80"/>
        </w:rPr>
        <w:t xml:space="preserve">  </w:t>
      </w:r>
      <w:r>
        <w:t>исполнение</w:t>
      </w:r>
      <w:r>
        <w:rPr>
          <w:spacing w:val="80"/>
        </w:rPr>
        <w:t xml:space="preserve">  </w:t>
      </w:r>
      <w:r>
        <w:t>Указа</w:t>
      </w:r>
      <w:r>
        <w:rPr>
          <w:spacing w:val="80"/>
        </w:rPr>
        <w:t xml:space="preserve">  </w:t>
      </w:r>
      <w:r>
        <w:t>Президента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</w:t>
      </w:r>
      <w:r>
        <w:rPr>
          <w:spacing w:val="80"/>
        </w:rPr>
        <w:t xml:space="preserve"> </w:t>
      </w:r>
      <w:r>
        <w:t xml:space="preserve">от 21.12.2017 № 618 «Об основных направлениях государственной политики по развитию конкуренции» в </w:t>
      </w:r>
      <w:r w:rsidR="00462013">
        <w:t>Службе</w:t>
      </w:r>
      <w:r>
        <w:t xml:space="preserve"> создана система внутреннего обеспечения соответствия требованиям антимонопольного законодательства</w:t>
      </w:r>
      <w:r>
        <w:rPr>
          <w:spacing w:val="80"/>
          <w:w w:val="150"/>
        </w:rPr>
        <w:t xml:space="preserve">   </w:t>
      </w:r>
      <w:r>
        <w:t>(далее</w:t>
      </w:r>
      <w:r>
        <w:rPr>
          <w:spacing w:val="80"/>
        </w:rPr>
        <w:t xml:space="preserve">    </w:t>
      </w:r>
      <w:r>
        <w:t>–</w:t>
      </w:r>
      <w:r>
        <w:rPr>
          <w:spacing w:val="80"/>
          <w:w w:val="150"/>
        </w:rPr>
        <w:t xml:space="preserve">   </w:t>
      </w:r>
      <w:r>
        <w:t>антимонопольный</w:t>
      </w:r>
      <w:r>
        <w:rPr>
          <w:spacing w:val="80"/>
        </w:rPr>
        <w:t xml:space="preserve">    </w:t>
      </w:r>
      <w:r>
        <w:t>комплаенс),</w:t>
      </w:r>
      <w:r>
        <w:rPr>
          <w:spacing w:val="40"/>
        </w:rPr>
        <w:t xml:space="preserve"> </w:t>
      </w:r>
      <w:r>
        <w:t>а также определено, что приоритетным направлением деятельности исполнительных органов государственной власти субъектов Российской Федерации является активное содействие развитию конкуренции.</w:t>
      </w:r>
    </w:p>
    <w:p w14:paraId="2052609C" w14:textId="155698D6" w:rsidR="00C15EBA" w:rsidRDefault="00E97107" w:rsidP="00462013">
      <w:pPr>
        <w:pStyle w:val="a3"/>
        <w:spacing w:before="2"/>
        <w:ind w:right="134"/>
      </w:pPr>
      <w:r>
        <w:t>В</w:t>
      </w:r>
      <w:r>
        <w:rPr>
          <w:spacing w:val="61"/>
        </w:rPr>
        <w:t xml:space="preserve"> </w:t>
      </w:r>
      <w:r>
        <w:t>целях</w:t>
      </w:r>
      <w:r w:rsidR="00462013"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открытости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доступа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информации в информационно-телекоммуникационной сети Интернет на официальном сайте</w:t>
      </w:r>
      <w:r>
        <w:rPr>
          <w:spacing w:val="61"/>
          <w:w w:val="150"/>
        </w:rPr>
        <w:t xml:space="preserve"> </w:t>
      </w:r>
      <w:r w:rsidR="00462013">
        <w:t>Службы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4"/>
          <w:w w:val="150"/>
        </w:rPr>
        <w:t xml:space="preserve"> </w:t>
      </w:r>
      <w:r>
        <w:t>разделе</w:t>
      </w:r>
      <w:r>
        <w:rPr>
          <w:spacing w:val="63"/>
          <w:w w:val="150"/>
        </w:rPr>
        <w:t xml:space="preserve"> </w:t>
      </w:r>
      <w:r>
        <w:t>«Д</w:t>
      </w:r>
      <w:r w:rsidR="00462013">
        <w:t>еятельность</w:t>
      </w:r>
      <w:r>
        <w:t>»</w:t>
      </w:r>
      <w:r w:rsidR="005934CE">
        <w:t xml:space="preserve"> </w:t>
      </w:r>
      <w:r>
        <w:t>создан</w:t>
      </w:r>
      <w:r>
        <w:rPr>
          <w:spacing w:val="64"/>
          <w:w w:val="150"/>
        </w:rPr>
        <w:t xml:space="preserve"> </w:t>
      </w:r>
      <w:r>
        <w:rPr>
          <w:spacing w:val="-2"/>
        </w:rPr>
        <w:t>подраздел</w:t>
      </w:r>
      <w:r w:rsidR="00462013">
        <w:rPr>
          <w:spacing w:val="-2"/>
        </w:rPr>
        <w:t xml:space="preserve"> </w:t>
      </w:r>
      <w:r>
        <w:rPr>
          <w:spacing w:val="-2"/>
        </w:rPr>
        <w:t>«Антимоноп</w:t>
      </w:r>
      <w:r w:rsidR="00462013">
        <w:rPr>
          <w:spacing w:val="-2"/>
        </w:rPr>
        <w:t>о</w:t>
      </w:r>
      <w:r>
        <w:rPr>
          <w:spacing w:val="-2"/>
        </w:rPr>
        <w:t>льный</w:t>
      </w:r>
      <w:r>
        <w:rPr>
          <w:spacing w:val="12"/>
        </w:rPr>
        <w:t xml:space="preserve"> </w:t>
      </w:r>
      <w:r>
        <w:rPr>
          <w:spacing w:val="-2"/>
        </w:rPr>
        <w:t>комплаенс».</w:t>
      </w:r>
    </w:p>
    <w:p w14:paraId="24376188" w14:textId="02B388BE" w:rsidR="00C15EBA" w:rsidRDefault="00E97107" w:rsidP="005934CE">
      <w:pPr>
        <w:pStyle w:val="a3"/>
        <w:ind w:right="134"/>
      </w:pPr>
      <w:r>
        <w:t>Национальный</w:t>
      </w:r>
      <w:r>
        <w:rPr>
          <w:spacing w:val="80"/>
          <w:w w:val="150"/>
        </w:rPr>
        <w:t xml:space="preserve"> </w:t>
      </w:r>
      <w:r>
        <w:t>план</w:t>
      </w:r>
      <w:r>
        <w:rPr>
          <w:spacing w:val="80"/>
          <w:w w:val="150"/>
        </w:rPr>
        <w:t xml:space="preserve"> </w:t>
      </w:r>
      <w:r>
        <w:t>(«дорожная</w:t>
      </w:r>
      <w:r>
        <w:rPr>
          <w:spacing w:val="80"/>
          <w:w w:val="150"/>
        </w:rPr>
        <w:t xml:space="preserve"> </w:t>
      </w:r>
      <w:r>
        <w:t>карта»)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конкуренции</w:t>
      </w:r>
      <w:r>
        <w:rPr>
          <w:spacing w:val="40"/>
        </w:rPr>
        <w:t xml:space="preserve"> </w:t>
      </w:r>
      <w:r>
        <w:t>в Российской Федерации на 2021 - 2025 годы, утвержден распоряжением Правительства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02.09.2021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2424-р</w:t>
      </w:r>
      <w:r w:rsidR="005934CE">
        <w:t xml:space="preserve"> </w:t>
      </w:r>
      <w:r>
        <w:t>«Об утверждении Национального плана («дорожной карты») развития конкуренции в Российской Федерации на 2021 - 2025 годы».</w:t>
      </w:r>
    </w:p>
    <w:p w14:paraId="7BA553AD" w14:textId="518EEE41" w:rsidR="00C15EBA" w:rsidRDefault="00E97107">
      <w:pPr>
        <w:pStyle w:val="a3"/>
        <w:ind w:right="140"/>
      </w:pPr>
      <w:r>
        <w:t xml:space="preserve">В целях выявления и исключения рисков нарушения антимонопольного законодательства </w:t>
      </w:r>
      <w:r w:rsidR="0017770A">
        <w:t>Службой</w:t>
      </w:r>
      <w:r>
        <w:t xml:space="preserve"> были проведены следующие действия:</w:t>
      </w:r>
    </w:p>
    <w:p w14:paraId="108819AC" w14:textId="77777777" w:rsidR="00C15EBA" w:rsidRDefault="00E97107">
      <w:pPr>
        <w:pStyle w:val="a5"/>
        <w:numPr>
          <w:ilvl w:val="0"/>
          <w:numId w:val="1"/>
        </w:numPr>
        <w:tabs>
          <w:tab w:val="left" w:pos="1467"/>
        </w:tabs>
        <w:spacing w:before="1"/>
        <w:ind w:right="142" w:firstLine="707"/>
        <w:rPr>
          <w:sz w:val="28"/>
        </w:rPr>
      </w:pPr>
      <w:r>
        <w:rPr>
          <w:sz w:val="28"/>
        </w:rPr>
        <w:t>Анализ выявленных нарушений антимонопольного законодательства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предостережений,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предупреждений,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штрафов,</w:t>
      </w:r>
    </w:p>
    <w:p w14:paraId="504D9ED8" w14:textId="77777777" w:rsidR="00C15EBA" w:rsidRDefault="00C15EBA">
      <w:pPr>
        <w:pStyle w:val="a5"/>
        <w:rPr>
          <w:sz w:val="28"/>
        </w:rPr>
        <w:sectPr w:rsidR="00C15EBA">
          <w:type w:val="continuous"/>
          <w:pgSz w:w="11910" w:h="16840"/>
          <w:pgMar w:top="1040" w:right="1133" w:bottom="280" w:left="1559" w:header="720" w:footer="720" w:gutter="0"/>
          <w:cols w:space="720"/>
        </w:sectPr>
      </w:pPr>
    </w:p>
    <w:p w14:paraId="4CD3A99F" w14:textId="7F46E9A5" w:rsidR="00C15EBA" w:rsidRDefault="00E97107">
      <w:pPr>
        <w:pStyle w:val="a3"/>
        <w:spacing w:before="163"/>
        <w:ind w:right="134" w:firstLine="0"/>
      </w:pPr>
      <w:r>
        <w:lastRenderedPageBreak/>
        <w:t xml:space="preserve">жалоб, возбужденных дел) в деятельности </w:t>
      </w:r>
      <w:r w:rsidR="0017770A">
        <w:t>Службы</w:t>
      </w:r>
      <w:r>
        <w:t xml:space="preserve"> за 2021-202</w:t>
      </w:r>
      <w:r w:rsidR="0017770A">
        <w:t>5 годы</w:t>
      </w:r>
      <w:r w:rsidR="0017770A">
        <w:rPr>
          <w:spacing w:val="80"/>
        </w:rPr>
        <w:t xml:space="preserve"> </w:t>
      </w:r>
      <w:r w:rsidR="0017770A">
        <w:t>не</w:t>
      </w:r>
      <w:r>
        <w:rPr>
          <w:spacing w:val="79"/>
        </w:rPr>
        <w:t xml:space="preserve">  </w:t>
      </w:r>
      <w:r>
        <w:t>осуществлялся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связи</w:t>
      </w:r>
      <w:r>
        <w:rPr>
          <w:spacing w:val="80"/>
        </w:rPr>
        <w:t xml:space="preserve">  </w:t>
      </w:r>
      <w:r>
        <w:t>с</w:t>
      </w:r>
      <w:r>
        <w:rPr>
          <w:spacing w:val="79"/>
        </w:rPr>
        <w:t xml:space="preserve">  </w:t>
      </w:r>
      <w:r>
        <w:t>отсутствием</w:t>
      </w:r>
      <w:r>
        <w:rPr>
          <w:spacing w:val="80"/>
        </w:rPr>
        <w:t xml:space="preserve">  </w:t>
      </w:r>
      <w:r>
        <w:t xml:space="preserve">сведений о нарушениях </w:t>
      </w:r>
      <w:r w:rsidR="0017770A">
        <w:t>Службой</w:t>
      </w:r>
      <w:r>
        <w:t xml:space="preserve"> антимонопольного законодательства.</w:t>
      </w:r>
    </w:p>
    <w:p w14:paraId="6F1F1AD7" w14:textId="63F05C48" w:rsidR="00C15EBA" w:rsidRDefault="00E97107">
      <w:pPr>
        <w:pStyle w:val="a3"/>
        <w:spacing w:before="2"/>
        <w:ind w:right="141"/>
      </w:pPr>
      <w:r>
        <w:t xml:space="preserve">Дела по вопросам применения и возможного нарушения </w:t>
      </w:r>
      <w:r w:rsidR="0017770A">
        <w:t>Службой</w:t>
      </w:r>
      <w:r>
        <w:t xml:space="preserve"> норм антимонопольного законодательства в судебных инстанциях не рассматривались.</w:t>
      </w:r>
    </w:p>
    <w:p w14:paraId="1755A165" w14:textId="4FE62BFC" w:rsidR="00C15EBA" w:rsidRDefault="00E97107">
      <w:pPr>
        <w:pStyle w:val="a5"/>
        <w:numPr>
          <w:ilvl w:val="0"/>
          <w:numId w:val="1"/>
        </w:numPr>
        <w:tabs>
          <w:tab w:val="left" w:pos="1241"/>
        </w:tabs>
        <w:ind w:right="133" w:firstLine="707"/>
        <w:rPr>
          <w:sz w:val="28"/>
        </w:rPr>
      </w:pPr>
      <w:r>
        <w:rPr>
          <w:sz w:val="28"/>
        </w:rPr>
        <w:t>В целях выявления и исключения рисков нарушения антимонопольного</w:t>
      </w:r>
      <w:r>
        <w:rPr>
          <w:spacing w:val="79"/>
          <w:sz w:val="28"/>
        </w:rPr>
        <w:t xml:space="preserve">  </w:t>
      </w:r>
      <w:r>
        <w:rPr>
          <w:sz w:val="28"/>
        </w:rPr>
        <w:t>законодательства,</w:t>
      </w:r>
      <w:r>
        <w:rPr>
          <w:spacing w:val="79"/>
          <w:sz w:val="28"/>
        </w:rPr>
        <w:t xml:space="preserve">  </w:t>
      </w:r>
      <w:r>
        <w:rPr>
          <w:sz w:val="28"/>
        </w:rPr>
        <w:t>а</w:t>
      </w:r>
      <w:r>
        <w:rPr>
          <w:spacing w:val="79"/>
          <w:sz w:val="28"/>
        </w:rPr>
        <w:t xml:space="preserve">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анализа о</w:t>
      </w:r>
      <w:r>
        <w:rPr>
          <w:spacing w:val="78"/>
          <w:sz w:val="28"/>
        </w:rPr>
        <w:t xml:space="preserve">   </w:t>
      </w:r>
      <w:r>
        <w:rPr>
          <w:sz w:val="28"/>
        </w:rPr>
        <w:t>целесообразности</w:t>
      </w:r>
      <w:r>
        <w:rPr>
          <w:spacing w:val="78"/>
          <w:sz w:val="28"/>
        </w:rPr>
        <w:t xml:space="preserve">   </w:t>
      </w:r>
      <w:r>
        <w:rPr>
          <w:sz w:val="28"/>
        </w:rPr>
        <w:t>(нецелесообразности)</w:t>
      </w:r>
      <w:r>
        <w:rPr>
          <w:spacing w:val="78"/>
          <w:sz w:val="28"/>
        </w:rPr>
        <w:t xml:space="preserve">   </w:t>
      </w:r>
      <w:r>
        <w:rPr>
          <w:sz w:val="28"/>
        </w:rPr>
        <w:t>внесения</w:t>
      </w:r>
      <w:r>
        <w:rPr>
          <w:spacing w:val="78"/>
          <w:sz w:val="28"/>
        </w:rPr>
        <w:t xml:space="preserve">   </w:t>
      </w:r>
      <w:r>
        <w:rPr>
          <w:sz w:val="28"/>
        </w:rPr>
        <w:t>изменений в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 w:rsidR="0017770A">
        <w:rPr>
          <w:sz w:val="28"/>
        </w:rPr>
        <w:t>Службы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 и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сети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официальном сайте </w:t>
      </w:r>
      <w:r w:rsidR="0017770A">
        <w:rPr>
          <w:sz w:val="28"/>
        </w:rPr>
        <w:t>Службы</w:t>
      </w:r>
      <w:r>
        <w:rPr>
          <w:sz w:val="28"/>
        </w:rPr>
        <w:t xml:space="preserve"> в разделе «Антимонопольный комплаенс» исчерпывающий перечень нормативных правовых актов</w:t>
      </w:r>
      <w:r w:rsidR="0017770A">
        <w:rPr>
          <w:sz w:val="28"/>
        </w:rPr>
        <w:t xml:space="preserve"> Службы</w:t>
      </w:r>
      <w:r>
        <w:rPr>
          <w:sz w:val="28"/>
        </w:rPr>
        <w:t xml:space="preserve"> за 202</w:t>
      </w:r>
      <w:r w:rsidR="0017770A">
        <w:rPr>
          <w:sz w:val="28"/>
        </w:rPr>
        <w:t>5</w:t>
      </w:r>
      <w:r>
        <w:rPr>
          <w:sz w:val="28"/>
        </w:rPr>
        <w:t xml:space="preserve"> год с уведомлением о начале сбора замечаний и предложений организаций и граждан с </w:t>
      </w:r>
      <w:r w:rsidR="0017770A">
        <w:rPr>
          <w:sz w:val="28"/>
        </w:rPr>
        <w:t>26</w:t>
      </w:r>
      <w:r>
        <w:rPr>
          <w:sz w:val="28"/>
        </w:rPr>
        <w:t>.0</w:t>
      </w:r>
      <w:r w:rsidR="0017770A">
        <w:rPr>
          <w:sz w:val="28"/>
        </w:rPr>
        <w:t>1</w:t>
      </w:r>
      <w:r>
        <w:rPr>
          <w:sz w:val="28"/>
        </w:rPr>
        <w:t>.202</w:t>
      </w:r>
      <w:r w:rsidR="0017770A">
        <w:rPr>
          <w:sz w:val="28"/>
        </w:rPr>
        <w:t>6</w:t>
      </w:r>
      <w:r>
        <w:rPr>
          <w:sz w:val="28"/>
        </w:rPr>
        <w:t xml:space="preserve"> по 1</w:t>
      </w:r>
      <w:r w:rsidR="0017770A">
        <w:rPr>
          <w:sz w:val="28"/>
        </w:rPr>
        <w:t>3</w:t>
      </w:r>
      <w:r>
        <w:rPr>
          <w:sz w:val="28"/>
        </w:rPr>
        <w:t>.0</w:t>
      </w:r>
      <w:r w:rsidR="0017770A">
        <w:rPr>
          <w:sz w:val="28"/>
        </w:rPr>
        <w:t>2</w:t>
      </w:r>
      <w:r>
        <w:rPr>
          <w:sz w:val="28"/>
        </w:rPr>
        <w:t>.202</w:t>
      </w:r>
      <w:r w:rsidR="0017770A">
        <w:rPr>
          <w:sz w:val="28"/>
        </w:rPr>
        <w:t>6</w:t>
      </w:r>
      <w:r>
        <w:rPr>
          <w:sz w:val="28"/>
        </w:rPr>
        <w:t>.</w:t>
      </w:r>
    </w:p>
    <w:p w14:paraId="4B1D59C3" w14:textId="25B64FCA" w:rsidR="00C15EBA" w:rsidRDefault="00E97107">
      <w:pPr>
        <w:pStyle w:val="a3"/>
        <w:spacing w:before="1"/>
        <w:ind w:right="138"/>
      </w:pPr>
      <w:r>
        <w:t>В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уведомлении</w:t>
      </w:r>
      <w:r>
        <w:rPr>
          <w:spacing w:val="40"/>
        </w:rPr>
        <w:t xml:space="preserve"> </w:t>
      </w:r>
      <w:r>
        <w:t>срок</w:t>
      </w:r>
      <w:r w:rsidR="0017770A">
        <w:rPr>
          <w:spacing w:val="80"/>
          <w:w w:val="150"/>
        </w:rPr>
        <w:t xml:space="preserve"> </w:t>
      </w:r>
      <w:r>
        <w:t>замечания</w:t>
      </w:r>
      <w:r w:rsidR="0017770A">
        <w:rPr>
          <w:spacing w:val="80"/>
          <w:w w:val="150"/>
        </w:rPr>
        <w:t xml:space="preserve"> </w:t>
      </w:r>
      <w:r>
        <w:t>и</w:t>
      </w:r>
      <w:r w:rsidR="0017770A">
        <w:t xml:space="preserve"> </w:t>
      </w:r>
      <w:r>
        <w:t>предложения от организаций и граждан не поступили.</w:t>
      </w:r>
    </w:p>
    <w:p w14:paraId="40095EEA" w14:textId="7BFF63B1" w:rsidR="00C15EBA" w:rsidRDefault="00E97107">
      <w:pPr>
        <w:pStyle w:val="a3"/>
        <w:ind w:right="138"/>
      </w:pPr>
      <w:r>
        <w:t xml:space="preserve">По итогам проведенного анализа нормативных правовых актов </w:t>
      </w:r>
      <w:r w:rsidR="0017770A">
        <w:t>Службой</w:t>
      </w:r>
      <w:r>
        <w:t xml:space="preserve"> сделан вывод об их соответствии антимонопольному </w:t>
      </w:r>
      <w:r>
        <w:rPr>
          <w:spacing w:val="-2"/>
        </w:rPr>
        <w:t>законодательству.</w:t>
      </w:r>
    </w:p>
    <w:p w14:paraId="428AFF04" w14:textId="1250A2FB" w:rsidR="00C15EBA" w:rsidRDefault="00E97107">
      <w:pPr>
        <w:pStyle w:val="a5"/>
        <w:numPr>
          <w:ilvl w:val="0"/>
          <w:numId w:val="1"/>
        </w:numPr>
        <w:tabs>
          <w:tab w:val="left" w:pos="988"/>
        </w:tabs>
        <w:spacing w:line="321" w:lineRule="exact"/>
        <w:ind w:left="988" w:hanging="279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"/>
          <w:sz w:val="28"/>
        </w:rPr>
        <w:t xml:space="preserve"> </w:t>
      </w:r>
      <w:r w:rsidR="0017770A">
        <w:rPr>
          <w:spacing w:val="-2"/>
          <w:sz w:val="28"/>
        </w:rPr>
        <w:t>Службы</w:t>
      </w:r>
      <w:r>
        <w:rPr>
          <w:spacing w:val="-2"/>
          <w:sz w:val="28"/>
        </w:rPr>
        <w:t>.</w:t>
      </w:r>
    </w:p>
    <w:p w14:paraId="69660548" w14:textId="16242D32" w:rsidR="00C15EBA" w:rsidRDefault="00E97107">
      <w:pPr>
        <w:pStyle w:val="a3"/>
        <w:spacing w:before="1"/>
        <w:ind w:right="135"/>
      </w:pPr>
      <w:r>
        <w:t>В</w:t>
      </w:r>
      <w:r>
        <w:rPr>
          <w:spacing w:val="80"/>
        </w:rPr>
        <w:t xml:space="preserve">   </w:t>
      </w:r>
      <w:r>
        <w:t>информационно-телекоммуникационной</w:t>
      </w:r>
      <w:r>
        <w:rPr>
          <w:spacing w:val="80"/>
        </w:rPr>
        <w:t xml:space="preserve">   </w:t>
      </w:r>
      <w:r>
        <w:t>сети</w:t>
      </w:r>
      <w:r>
        <w:rPr>
          <w:spacing w:val="80"/>
        </w:rPr>
        <w:t xml:space="preserve">   </w:t>
      </w:r>
      <w:r>
        <w:t xml:space="preserve">Интернет на официальном сайте </w:t>
      </w:r>
      <w:r w:rsidR="0017770A">
        <w:t>Службы</w:t>
      </w:r>
      <w:r>
        <w:t xml:space="preserve"> своевременно размещались</w:t>
      </w:r>
      <w:r w:rsidR="0017770A">
        <w:t xml:space="preserve"> разрабатываемые</w:t>
      </w:r>
      <w:r>
        <w:t xml:space="preserve"> проекты нормативных правовых актов</w:t>
      </w:r>
      <w:r w:rsidR="0017770A">
        <w:t xml:space="preserve">. </w:t>
      </w:r>
      <w:r>
        <w:t>По данным проектам</w:t>
      </w:r>
      <w:r>
        <w:rPr>
          <w:spacing w:val="74"/>
        </w:rPr>
        <w:t xml:space="preserve"> </w:t>
      </w:r>
      <w:r>
        <w:t>замечаний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предложений</w:t>
      </w:r>
      <w:r>
        <w:rPr>
          <w:spacing w:val="73"/>
        </w:rPr>
        <w:t xml:space="preserve"> </w:t>
      </w:r>
      <w:r>
        <w:t>от</w:t>
      </w:r>
      <w:r>
        <w:rPr>
          <w:spacing w:val="74"/>
        </w:rPr>
        <w:t xml:space="preserve"> </w:t>
      </w:r>
      <w:r>
        <w:t>граждан</w:t>
      </w:r>
      <w:r>
        <w:rPr>
          <w:spacing w:val="73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организаций не поступало.</w:t>
      </w:r>
    </w:p>
    <w:p w14:paraId="09E58A47" w14:textId="089964D5" w:rsidR="00C15EBA" w:rsidRDefault="00E97107">
      <w:pPr>
        <w:pStyle w:val="a3"/>
        <w:ind w:right="139"/>
      </w:pPr>
      <w:r>
        <w:t xml:space="preserve">Кроме того, в </w:t>
      </w:r>
      <w:r w:rsidR="005E54D0">
        <w:t>Службе</w:t>
      </w:r>
      <w:r>
        <w:t xml:space="preserve"> проводится мониторинг изменений законодательства Российской Федерации в сфере противодействия коррупции, нормативные правовые акты </w:t>
      </w:r>
      <w:r w:rsidR="00E632B8">
        <w:t>Службы</w:t>
      </w:r>
      <w:r>
        <w:t xml:space="preserve"> своевременно приводятся в соответствие с федеральными законами и иными нормативными правовыми актами Российской Федерации в сфере противодействия коррупции.</w:t>
      </w:r>
    </w:p>
    <w:p w14:paraId="45F68794" w14:textId="7BC3991C" w:rsidR="00C15EBA" w:rsidRDefault="00E97107">
      <w:pPr>
        <w:pStyle w:val="a5"/>
        <w:numPr>
          <w:ilvl w:val="0"/>
          <w:numId w:val="1"/>
        </w:numPr>
        <w:tabs>
          <w:tab w:val="left" w:pos="1131"/>
        </w:tabs>
        <w:ind w:right="142" w:firstLine="707"/>
        <w:rPr>
          <w:sz w:val="28"/>
        </w:rPr>
      </w:pPr>
      <w:r>
        <w:rPr>
          <w:sz w:val="28"/>
        </w:rPr>
        <w:t xml:space="preserve">Мониторинг и анализ практики применения </w:t>
      </w:r>
      <w:r w:rsidR="00E632B8">
        <w:rPr>
          <w:sz w:val="28"/>
        </w:rPr>
        <w:t>Службой</w:t>
      </w:r>
      <w:r>
        <w:rPr>
          <w:sz w:val="28"/>
        </w:rPr>
        <w:t xml:space="preserve"> антимонопольного законодательства.</w:t>
      </w:r>
    </w:p>
    <w:p w14:paraId="1DBC250A" w14:textId="0A68567B" w:rsidR="00C15EBA" w:rsidRDefault="00E97107">
      <w:pPr>
        <w:pStyle w:val="a3"/>
        <w:spacing w:before="1"/>
        <w:ind w:right="138"/>
      </w:pPr>
      <w:r>
        <w:t>На постоянной основе</w:t>
      </w:r>
      <w:r w:rsidR="00E632B8">
        <w:t xml:space="preserve"> </w:t>
      </w:r>
      <w:r>
        <w:t xml:space="preserve">проводится сбор сведений о правоприменительной практике в </w:t>
      </w:r>
      <w:r w:rsidR="00E632B8">
        <w:t>Службе</w:t>
      </w:r>
      <w:r>
        <w:t>. Правоприменительная практика</w:t>
      </w:r>
      <w:r>
        <w:rPr>
          <w:spacing w:val="80"/>
          <w:w w:val="150"/>
        </w:rPr>
        <w:t xml:space="preserve"> </w:t>
      </w:r>
      <w:r>
        <w:t>антимонопольного</w:t>
      </w:r>
      <w:r>
        <w:rPr>
          <w:spacing w:val="80"/>
          <w:w w:val="150"/>
        </w:rPr>
        <w:t xml:space="preserve"> </w:t>
      </w:r>
      <w:r>
        <w:t>законодательства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судебная</w:t>
      </w:r>
      <w:r>
        <w:rPr>
          <w:spacing w:val="80"/>
          <w:w w:val="150"/>
        </w:rPr>
        <w:t xml:space="preserve"> </w:t>
      </w:r>
      <w:r>
        <w:t>практика</w:t>
      </w:r>
      <w:r>
        <w:rPr>
          <w:spacing w:val="80"/>
          <w:w w:val="150"/>
        </w:rPr>
        <w:t xml:space="preserve"> </w:t>
      </w:r>
      <w:r>
        <w:t xml:space="preserve">по антимонопольным делам в отношении </w:t>
      </w:r>
      <w:r w:rsidR="00E632B8">
        <w:t>Службы</w:t>
      </w:r>
      <w:r>
        <w:t xml:space="preserve"> отсутствует.</w:t>
      </w:r>
    </w:p>
    <w:p w14:paraId="55E5B62A" w14:textId="4A1C0303" w:rsidR="00C15EBA" w:rsidRDefault="00E97107">
      <w:pPr>
        <w:pStyle w:val="a3"/>
        <w:ind w:right="135"/>
      </w:pPr>
      <w:r>
        <w:t>В 202</w:t>
      </w:r>
      <w:r w:rsidR="00E632B8">
        <w:t>5</w:t>
      </w:r>
      <w:r>
        <w:t xml:space="preserve"> году </w:t>
      </w:r>
      <w:r w:rsidR="00E632B8">
        <w:t>Службой</w:t>
      </w:r>
      <w:r>
        <w:t xml:space="preserve"> продолжилось выполнение</w:t>
      </w:r>
      <w:r>
        <w:rPr>
          <w:spacing w:val="40"/>
        </w:rPr>
        <w:t xml:space="preserve"> </w:t>
      </w:r>
      <w:r>
        <w:t xml:space="preserve">мероприятий, предусмотренных Планом мероприятий («дорожной картой») по снижению рисков нарушения антимонопольного законодательства в </w:t>
      </w:r>
      <w:r w:rsidR="00E632B8" w:rsidRPr="00E632B8">
        <w:t>Служб</w:t>
      </w:r>
      <w:r w:rsidR="00E632B8">
        <w:t>е</w:t>
      </w:r>
      <w:r w:rsidR="00E632B8" w:rsidRPr="00E632B8">
        <w:t xml:space="preserve"> государственного строительного надзора Ивановской области </w:t>
      </w:r>
      <w:r>
        <w:t xml:space="preserve">(далее – План), утвержденного </w:t>
      </w:r>
      <w:r w:rsidR="00E632B8">
        <w:t>приказом Службы</w:t>
      </w:r>
      <w:r>
        <w:t xml:space="preserve"> от </w:t>
      </w:r>
      <w:r w:rsidR="00E632B8">
        <w:t>31</w:t>
      </w:r>
      <w:r>
        <w:t>.12.20</w:t>
      </w:r>
      <w:r w:rsidR="00E632B8">
        <w:t>19</w:t>
      </w:r>
      <w:r>
        <w:t xml:space="preserve"> № </w:t>
      </w:r>
      <w:r w:rsidR="00E632B8">
        <w:t>70</w:t>
      </w:r>
      <w:r>
        <w:t>:</w:t>
      </w:r>
    </w:p>
    <w:p w14:paraId="688A58AD" w14:textId="77777777" w:rsidR="00C15EBA" w:rsidRDefault="00C15EBA">
      <w:pPr>
        <w:pStyle w:val="a3"/>
        <w:sectPr w:rsidR="00C15EBA">
          <w:headerReference w:type="default" r:id="rId7"/>
          <w:pgSz w:w="11910" w:h="16840"/>
          <w:pgMar w:top="1040" w:right="1133" w:bottom="280" w:left="1559" w:header="710" w:footer="0" w:gutter="0"/>
          <w:pgNumType w:start="2"/>
          <w:cols w:space="720"/>
        </w:sectPr>
      </w:pPr>
    </w:p>
    <w:p w14:paraId="1E78C283" w14:textId="77777777" w:rsidR="00C15EBA" w:rsidRDefault="00E97107">
      <w:pPr>
        <w:pStyle w:val="a5"/>
        <w:numPr>
          <w:ilvl w:val="1"/>
          <w:numId w:val="1"/>
        </w:numPr>
        <w:tabs>
          <w:tab w:val="left" w:pos="871"/>
        </w:tabs>
        <w:spacing w:before="163"/>
        <w:ind w:left="871" w:hanging="162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закупках;</w:t>
      </w:r>
    </w:p>
    <w:p w14:paraId="19CAD104" w14:textId="77777777" w:rsidR="00C15EBA" w:rsidRDefault="00E97107">
      <w:pPr>
        <w:pStyle w:val="a5"/>
        <w:numPr>
          <w:ilvl w:val="1"/>
          <w:numId w:val="1"/>
        </w:numPr>
        <w:tabs>
          <w:tab w:val="left" w:pos="871"/>
        </w:tabs>
        <w:ind w:left="871" w:hanging="162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закупочной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4C14D7D" w14:textId="77777777" w:rsidR="00C15EBA" w:rsidRDefault="00E97107">
      <w:pPr>
        <w:pStyle w:val="a5"/>
        <w:numPr>
          <w:ilvl w:val="1"/>
          <w:numId w:val="1"/>
        </w:numPr>
        <w:tabs>
          <w:tab w:val="left" w:pos="981"/>
        </w:tabs>
        <w:spacing w:before="2"/>
        <w:ind w:right="146" w:firstLine="707"/>
        <w:rPr>
          <w:sz w:val="28"/>
        </w:rPr>
      </w:pPr>
      <w:r>
        <w:rPr>
          <w:sz w:val="28"/>
        </w:rPr>
        <w:t xml:space="preserve">мониторинг и анализ практики применения антимонопольного </w:t>
      </w:r>
      <w:r>
        <w:rPr>
          <w:spacing w:val="-2"/>
          <w:sz w:val="28"/>
        </w:rPr>
        <w:t>законодательства;</w:t>
      </w:r>
    </w:p>
    <w:p w14:paraId="56C66F61" w14:textId="38D94A6A" w:rsidR="00C15EBA" w:rsidRDefault="00DE5DA0">
      <w:pPr>
        <w:pStyle w:val="a5"/>
        <w:numPr>
          <w:ilvl w:val="1"/>
          <w:numId w:val="1"/>
        </w:numPr>
        <w:tabs>
          <w:tab w:val="left" w:pos="906"/>
        </w:tabs>
        <w:ind w:right="137" w:firstLine="707"/>
        <w:rPr>
          <w:sz w:val="28"/>
        </w:rPr>
      </w:pPr>
      <w:r>
        <w:rPr>
          <w:sz w:val="28"/>
        </w:rPr>
        <w:t>систематическое повышение квалификации ответственных сотрудников Службы</w:t>
      </w:r>
      <w:bookmarkStart w:id="1" w:name="_GoBack"/>
      <w:bookmarkEnd w:id="1"/>
      <w:r w:rsidR="00E97107">
        <w:rPr>
          <w:sz w:val="28"/>
        </w:rPr>
        <w:t>;</w:t>
      </w:r>
    </w:p>
    <w:p w14:paraId="15ABB435" w14:textId="77777777" w:rsidR="00C15EBA" w:rsidRDefault="00E97107">
      <w:pPr>
        <w:pStyle w:val="a5"/>
        <w:numPr>
          <w:ilvl w:val="1"/>
          <w:numId w:val="1"/>
        </w:numPr>
        <w:tabs>
          <w:tab w:val="left" w:pos="1086"/>
        </w:tabs>
        <w:ind w:right="146" w:firstLine="707"/>
        <w:rPr>
          <w:sz w:val="28"/>
        </w:rPr>
      </w:pPr>
      <w:r>
        <w:rPr>
          <w:sz w:val="28"/>
        </w:rPr>
        <w:t>проведение мониторинга и анализа практики применения антимонопольного законодательства;</w:t>
      </w:r>
    </w:p>
    <w:p w14:paraId="772D122B" w14:textId="6032DFC0" w:rsidR="00C15EBA" w:rsidRDefault="00E97107">
      <w:pPr>
        <w:pStyle w:val="a5"/>
        <w:numPr>
          <w:ilvl w:val="1"/>
          <w:numId w:val="1"/>
        </w:numPr>
        <w:tabs>
          <w:tab w:val="left" w:pos="877"/>
        </w:tabs>
        <w:ind w:right="145" w:firstLine="707"/>
        <w:rPr>
          <w:sz w:val="28"/>
        </w:rPr>
      </w:pPr>
      <w:r>
        <w:rPr>
          <w:sz w:val="28"/>
        </w:rPr>
        <w:t xml:space="preserve">совершенствование внутреннего контроля при подготовке проектов нормативных правовых актов </w:t>
      </w:r>
      <w:r w:rsidR="001A439A">
        <w:rPr>
          <w:sz w:val="28"/>
        </w:rPr>
        <w:t>Службы</w:t>
      </w:r>
      <w:r>
        <w:rPr>
          <w:sz w:val="28"/>
        </w:rPr>
        <w:t>.</w:t>
      </w:r>
    </w:p>
    <w:p w14:paraId="171EEF50" w14:textId="30C27806" w:rsidR="00C15EBA" w:rsidRDefault="00E97107">
      <w:pPr>
        <w:pStyle w:val="a3"/>
        <w:ind w:right="139"/>
      </w:pPr>
      <w:r>
        <w:t xml:space="preserve">Кроме того, в </w:t>
      </w:r>
      <w:r w:rsidR="00D25C6C">
        <w:t>3</w:t>
      </w:r>
      <w:r>
        <w:t xml:space="preserve"> квартале 202</w:t>
      </w:r>
      <w:r w:rsidR="00D25C6C">
        <w:t>5</w:t>
      </w:r>
      <w:r>
        <w:t xml:space="preserve"> года с государственными гражданскими служащими </w:t>
      </w:r>
      <w:r w:rsidR="00D25C6C">
        <w:t>Службы</w:t>
      </w:r>
      <w:r>
        <w:t xml:space="preserve"> проведено информационное мероприятие на тему: «Коррупция в сфере закупок».</w:t>
      </w:r>
    </w:p>
    <w:p w14:paraId="528E2353" w14:textId="77777777" w:rsidR="00D25C6C" w:rsidRDefault="00E97107" w:rsidP="00D25C6C">
      <w:pPr>
        <w:pStyle w:val="a3"/>
        <w:spacing w:before="1"/>
        <w:ind w:right="134"/>
      </w:pPr>
      <w:r>
        <w:t>По</w:t>
      </w:r>
      <w:r>
        <w:rPr>
          <w:spacing w:val="69"/>
        </w:rPr>
        <w:t xml:space="preserve">   </w:t>
      </w:r>
      <w:r>
        <w:t>результатам</w:t>
      </w:r>
      <w:r>
        <w:rPr>
          <w:spacing w:val="68"/>
        </w:rPr>
        <w:t xml:space="preserve">   </w:t>
      </w:r>
      <w:r>
        <w:t>выявления</w:t>
      </w:r>
      <w:r>
        <w:rPr>
          <w:spacing w:val="69"/>
        </w:rPr>
        <w:t xml:space="preserve">   </w:t>
      </w:r>
      <w:r>
        <w:t>и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69"/>
        </w:rPr>
        <w:t xml:space="preserve">   </w:t>
      </w:r>
      <w:r>
        <w:t xml:space="preserve">комплаенс-рисков в </w:t>
      </w:r>
      <w:r w:rsidR="00D25C6C">
        <w:t>Службе</w:t>
      </w:r>
      <w:r>
        <w:t xml:space="preserve"> продолжает быть актуальна Карта комплаенс-рисков нарушения антимонопольного законодательства в </w:t>
      </w:r>
      <w:r w:rsidR="00D25C6C" w:rsidRPr="00D25C6C">
        <w:t xml:space="preserve">Службе государственного строительного надзора Ивановской области </w:t>
      </w:r>
      <w:r>
        <w:t>(далее – Карта комплаенс-рисков),</w:t>
      </w:r>
      <w:r w:rsidR="00D25C6C">
        <w:rPr>
          <w:spacing w:val="80"/>
        </w:rPr>
        <w:t xml:space="preserve"> </w:t>
      </w:r>
      <w:r>
        <w:t>утвержденная</w:t>
      </w:r>
      <w:r w:rsidR="00D25C6C">
        <w:rPr>
          <w:spacing w:val="80"/>
        </w:rPr>
        <w:t xml:space="preserve"> </w:t>
      </w:r>
      <w:r w:rsidR="00D25C6C" w:rsidRPr="00D25C6C">
        <w:t>приказом Службы от 31.12.2019 № 70</w:t>
      </w:r>
      <w:r w:rsidR="00D25C6C">
        <w:t xml:space="preserve">. </w:t>
      </w:r>
    </w:p>
    <w:p w14:paraId="6E90F8CC" w14:textId="7C61E4A9" w:rsidR="00C15EBA" w:rsidRDefault="00E97107" w:rsidP="00D25C6C">
      <w:pPr>
        <w:pStyle w:val="a3"/>
        <w:spacing w:before="1"/>
        <w:ind w:right="134"/>
      </w:pPr>
      <w:r>
        <w:t>Картой комплаенс-рисков предусмотрены возможные риски нарушения антимонопольного законодательства:</w:t>
      </w:r>
    </w:p>
    <w:p w14:paraId="4AA5ACDC" w14:textId="1DF536F4" w:rsidR="00C15EBA" w:rsidRPr="00250875" w:rsidRDefault="00014056" w:rsidP="00250875">
      <w:pPr>
        <w:pStyle w:val="a5"/>
        <w:numPr>
          <w:ilvl w:val="1"/>
          <w:numId w:val="1"/>
        </w:numPr>
        <w:tabs>
          <w:tab w:val="left" w:pos="923"/>
        </w:tabs>
        <w:ind w:right="142" w:firstLine="707"/>
        <w:rPr>
          <w:sz w:val="28"/>
        </w:rPr>
      </w:pPr>
      <w:r>
        <w:rPr>
          <w:sz w:val="28"/>
        </w:rPr>
        <w:t>осуществление закупок товаров, работ, услуг для государственных нужд минуя конкурентные процедуры в отсутствии оснований, предусмотренных федеральным законом от 05.04.2013 № 44-ФЗ «О контрактной системе в сфере</w:t>
      </w:r>
      <w:r w:rsidR="00250875">
        <w:rPr>
          <w:sz w:val="28"/>
        </w:rPr>
        <w:t xml:space="preserve"> закупок товаров, работ, услуг для обеспечения государственных и муниципальных нужд»</w:t>
      </w:r>
      <w:r w:rsidR="00E97107" w:rsidRPr="00250875">
        <w:rPr>
          <w:sz w:val="28"/>
        </w:rPr>
        <w:t>;</w:t>
      </w:r>
    </w:p>
    <w:p w14:paraId="50E54C69" w14:textId="3FAE5585" w:rsidR="00C15EBA" w:rsidRDefault="00F71F65">
      <w:pPr>
        <w:pStyle w:val="a5"/>
        <w:numPr>
          <w:ilvl w:val="1"/>
          <w:numId w:val="1"/>
        </w:numPr>
        <w:tabs>
          <w:tab w:val="left" w:pos="1060"/>
        </w:tabs>
        <w:ind w:right="146" w:firstLine="707"/>
        <w:rPr>
          <w:sz w:val="28"/>
        </w:rPr>
      </w:pPr>
      <w:r>
        <w:rPr>
          <w:sz w:val="28"/>
        </w:rPr>
        <w:t>несвоевременное размещение в единой информационной системе в сфере закупок информации, предусмотренной законодательством о контрактной системе в сфере закупок</w:t>
      </w:r>
      <w:r w:rsidR="00E97107">
        <w:rPr>
          <w:sz w:val="28"/>
        </w:rPr>
        <w:t>;</w:t>
      </w:r>
    </w:p>
    <w:p w14:paraId="36D11FF3" w14:textId="77777777" w:rsidR="00C15EBA" w:rsidRDefault="00E97107">
      <w:pPr>
        <w:pStyle w:val="a5"/>
        <w:numPr>
          <w:ilvl w:val="1"/>
          <w:numId w:val="1"/>
        </w:numPr>
        <w:tabs>
          <w:tab w:val="left" w:pos="937"/>
        </w:tabs>
        <w:ind w:right="139" w:firstLine="707"/>
        <w:rPr>
          <w:sz w:val="28"/>
        </w:rPr>
      </w:pPr>
      <w:r>
        <w:rPr>
          <w:sz w:val="28"/>
        </w:rPr>
        <w:t>подготовка, согласование и утверждение нормативных правовых актов с нарушением требований антимонопольного законодательства.</w:t>
      </w:r>
    </w:p>
    <w:p w14:paraId="0FC374C3" w14:textId="77777777" w:rsidR="00C15EBA" w:rsidRDefault="00E97107">
      <w:pPr>
        <w:pStyle w:val="a3"/>
        <w:spacing w:line="322" w:lineRule="exact"/>
        <w:ind w:left="709" w:firstLine="0"/>
      </w:pPr>
      <w:r>
        <w:t>Вероятность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комплаенс-рисков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низкая.</w:t>
      </w:r>
    </w:p>
    <w:p w14:paraId="58631B41" w14:textId="1126C6E2" w:rsidR="00C15EBA" w:rsidRDefault="00E97107">
      <w:pPr>
        <w:pStyle w:val="a3"/>
        <w:spacing w:line="322" w:lineRule="exact"/>
        <w:ind w:left="709" w:firstLine="0"/>
      </w:pPr>
      <w:r>
        <w:t>За</w:t>
      </w:r>
      <w:r>
        <w:rPr>
          <w:spacing w:val="-5"/>
        </w:rPr>
        <w:t xml:space="preserve"> </w:t>
      </w:r>
      <w:r>
        <w:t>202</w:t>
      </w:r>
      <w:r w:rsidR="00D25C6C">
        <w:t>5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5C6C">
        <w:t>Службе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возникал.</w:t>
      </w:r>
    </w:p>
    <w:p w14:paraId="6D197237" w14:textId="015B032C" w:rsidR="00C15EBA" w:rsidRDefault="00E97107">
      <w:pPr>
        <w:pStyle w:val="a3"/>
        <w:ind w:right="138"/>
      </w:pPr>
      <w:r>
        <w:t xml:space="preserve">Ключевыми показателями эффективности функционирования системы внутреннего обеспечения соответствия требованиям антимонопольного законодательства деятельности </w:t>
      </w:r>
      <w:r w:rsidR="00D25C6C">
        <w:t xml:space="preserve">Службы </w:t>
      </w:r>
      <w:r>
        <w:rPr>
          <w:spacing w:val="-2"/>
        </w:rPr>
        <w:t>являются:</w:t>
      </w:r>
    </w:p>
    <w:p w14:paraId="043F8D83" w14:textId="77777777" w:rsidR="00C15EBA" w:rsidRDefault="00E97107">
      <w:pPr>
        <w:pStyle w:val="a5"/>
        <w:numPr>
          <w:ilvl w:val="1"/>
          <w:numId w:val="1"/>
        </w:numPr>
        <w:tabs>
          <w:tab w:val="left" w:pos="959"/>
        </w:tabs>
        <w:ind w:right="141" w:firstLine="707"/>
        <w:rPr>
          <w:sz w:val="28"/>
        </w:rPr>
      </w:pPr>
      <w:r>
        <w:rPr>
          <w:sz w:val="28"/>
        </w:rPr>
        <w:t>факты</w:t>
      </w:r>
      <w:r>
        <w:rPr>
          <w:spacing w:val="40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актом);</w:t>
      </w:r>
    </w:p>
    <w:p w14:paraId="152492DD" w14:textId="7F462612" w:rsidR="00C15EBA" w:rsidRDefault="00E97107">
      <w:pPr>
        <w:pStyle w:val="a5"/>
        <w:numPr>
          <w:ilvl w:val="1"/>
          <w:numId w:val="1"/>
        </w:numPr>
        <w:tabs>
          <w:tab w:val="left" w:pos="892"/>
        </w:tabs>
        <w:ind w:right="144" w:firstLine="707"/>
        <w:rPr>
          <w:sz w:val="28"/>
        </w:rPr>
      </w:pPr>
      <w:r>
        <w:rPr>
          <w:sz w:val="28"/>
        </w:rPr>
        <w:t xml:space="preserve">обоснованные жалобы на решения, действия </w:t>
      </w:r>
      <w:r w:rsidR="00D25C6C">
        <w:rPr>
          <w:sz w:val="28"/>
        </w:rPr>
        <w:t>Службы</w:t>
      </w:r>
      <w:r>
        <w:rPr>
          <w:sz w:val="28"/>
        </w:rPr>
        <w:t xml:space="preserve"> и (или) должностных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ограничению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поданные</w:t>
      </w:r>
    </w:p>
    <w:p w14:paraId="3722EB92" w14:textId="77777777" w:rsidR="00C15EBA" w:rsidRDefault="00C15EBA">
      <w:pPr>
        <w:pStyle w:val="a5"/>
        <w:rPr>
          <w:sz w:val="28"/>
        </w:rPr>
        <w:sectPr w:rsidR="00C15EBA">
          <w:pgSz w:w="11910" w:h="16840"/>
          <w:pgMar w:top="1040" w:right="1133" w:bottom="280" w:left="1559" w:header="710" w:footer="0" w:gutter="0"/>
          <w:cols w:space="720"/>
        </w:sectPr>
      </w:pPr>
    </w:p>
    <w:p w14:paraId="51B41E39" w14:textId="77777777" w:rsidR="00C15EBA" w:rsidRDefault="00E97107">
      <w:pPr>
        <w:pStyle w:val="a3"/>
        <w:spacing w:before="163"/>
        <w:ind w:right="145" w:firstLine="0"/>
      </w:pPr>
      <w:r>
        <w:lastRenderedPageBreak/>
        <w:t>в правоохранительные или контролирующие органы, с учетом вступивших в законную силу актов (при наличии).</w:t>
      </w:r>
    </w:p>
    <w:p w14:paraId="05F856EA" w14:textId="678BDBB7" w:rsidR="00C15EBA" w:rsidRDefault="00E97107">
      <w:pPr>
        <w:pStyle w:val="a3"/>
        <w:spacing w:before="2"/>
        <w:ind w:right="141"/>
      </w:pPr>
      <w:r>
        <w:t xml:space="preserve">Нарушений антимонопольного законодательства в </w:t>
      </w:r>
      <w:r w:rsidR="00D25C6C">
        <w:t>Службе</w:t>
      </w:r>
      <w:r>
        <w:t xml:space="preserve"> в 202</w:t>
      </w:r>
      <w:r w:rsidR="00D25C6C">
        <w:t xml:space="preserve">5 </w:t>
      </w:r>
      <w:r>
        <w:t>году не выявлено.</w:t>
      </w:r>
    </w:p>
    <w:p w14:paraId="232AF932" w14:textId="48AC64EE" w:rsidR="00C15EBA" w:rsidRDefault="00E97107">
      <w:pPr>
        <w:pStyle w:val="a3"/>
        <w:ind w:right="141"/>
      </w:pPr>
      <w:r>
        <w:t xml:space="preserve">Кроме того, в </w:t>
      </w:r>
      <w:r w:rsidR="00D25C6C">
        <w:t>Службе</w:t>
      </w:r>
      <w:r>
        <w:t xml:space="preserve"> в 202</w:t>
      </w:r>
      <w:r w:rsidR="00D25C6C">
        <w:t>5</w:t>
      </w:r>
      <w:r>
        <w:t xml:space="preserve"> году проведены следующие </w:t>
      </w:r>
      <w:r>
        <w:rPr>
          <w:spacing w:val="-2"/>
        </w:rPr>
        <w:t>мероприятия:</w:t>
      </w:r>
    </w:p>
    <w:p w14:paraId="42A6B0C1" w14:textId="4B6CBB07" w:rsidR="00C15EBA" w:rsidRDefault="00E97107">
      <w:pPr>
        <w:pStyle w:val="a5"/>
        <w:numPr>
          <w:ilvl w:val="1"/>
          <w:numId w:val="1"/>
        </w:numPr>
        <w:tabs>
          <w:tab w:val="left" w:pos="966"/>
        </w:tabs>
        <w:ind w:right="139" w:firstLine="707"/>
        <w:rPr>
          <w:sz w:val="28"/>
        </w:rPr>
      </w:pPr>
      <w:r>
        <w:rPr>
          <w:sz w:val="28"/>
        </w:rPr>
        <w:t>консультативно-методический семинар на тему «Представление сведений о доходах, расходах, об имуществе и обязательствах имущественного характера (декларационная кампания 202</w:t>
      </w:r>
      <w:r w:rsidR="00D25C6C">
        <w:rPr>
          <w:sz w:val="28"/>
        </w:rPr>
        <w:t>5</w:t>
      </w:r>
      <w:r>
        <w:rPr>
          <w:sz w:val="28"/>
        </w:rPr>
        <w:t xml:space="preserve"> (за 202</w:t>
      </w:r>
      <w:r w:rsidR="00D25C6C">
        <w:rPr>
          <w:sz w:val="28"/>
        </w:rPr>
        <w:t>4</w:t>
      </w:r>
      <w:r>
        <w:rPr>
          <w:sz w:val="28"/>
        </w:rPr>
        <w:t xml:space="preserve"> год)»;</w:t>
      </w:r>
    </w:p>
    <w:p w14:paraId="0FD7C1CB" w14:textId="77777777" w:rsidR="00C15EBA" w:rsidRDefault="00E97107">
      <w:pPr>
        <w:pStyle w:val="a5"/>
        <w:numPr>
          <w:ilvl w:val="1"/>
          <w:numId w:val="1"/>
        </w:numPr>
        <w:tabs>
          <w:tab w:val="left" w:pos="1168"/>
        </w:tabs>
        <w:ind w:right="141" w:firstLine="707"/>
        <w:rPr>
          <w:sz w:val="28"/>
        </w:rPr>
      </w:pPr>
      <w:r>
        <w:rPr>
          <w:sz w:val="28"/>
        </w:rPr>
        <w:t>семинар «Обзор изменений законодательства в сфере противодействия коррупции».</w:t>
      </w:r>
    </w:p>
    <w:p w14:paraId="63324EE1" w14:textId="1174356F" w:rsidR="00C15EBA" w:rsidRDefault="00E97107">
      <w:pPr>
        <w:pStyle w:val="a3"/>
        <w:ind w:right="138"/>
      </w:pPr>
      <w:r>
        <w:t xml:space="preserve">В целях снижения рисков нарушения антимонопольного законодательства до всех сотрудников </w:t>
      </w:r>
      <w:r w:rsidR="00D25C6C">
        <w:t>Службы</w:t>
      </w:r>
      <w:r>
        <w:t>, чьи должностные обязанности предусматривают выполнение функций, связанных с рисками нарушения антимонопольного законодательства, на совещаниях доводилась информация о требованиях антимонопольного законодательства и недопустимости их нарушения.</w:t>
      </w:r>
    </w:p>
    <w:p w14:paraId="1C08E82E" w14:textId="72E6ED22" w:rsidR="00C15EBA" w:rsidRDefault="00E97107">
      <w:pPr>
        <w:pStyle w:val="a3"/>
        <w:tabs>
          <w:tab w:val="left" w:pos="2241"/>
          <w:tab w:val="left" w:pos="4544"/>
          <w:tab w:val="left" w:pos="6816"/>
        </w:tabs>
        <w:ind w:right="140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>Планом,</w:t>
      </w:r>
      <w:r>
        <w:rPr>
          <w:spacing w:val="-4"/>
        </w:rPr>
        <w:t xml:space="preserve"> </w:t>
      </w:r>
      <w:r>
        <w:t xml:space="preserve">выполнены, в </w:t>
      </w:r>
      <w:r w:rsidR="00D25C6C">
        <w:t>Службе</w:t>
      </w:r>
      <w:r>
        <w:t xml:space="preserve"> успешно продолжена реализация системы внутреннего </w:t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соответствия</w:t>
      </w:r>
      <w:r>
        <w:tab/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 xml:space="preserve">антимонопольного </w:t>
      </w:r>
      <w:r>
        <w:t xml:space="preserve">законодательства, обеспечено соответствие деятельности </w:t>
      </w:r>
      <w:r w:rsidR="00D25C6C">
        <w:t xml:space="preserve">Службы </w:t>
      </w:r>
      <w:r>
        <w:t>требованиям антимонопольного законодательства.</w:t>
      </w:r>
    </w:p>
    <w:sectPr w:rsidR="00C15EBA">
      <w:pgSz w:w="11910" w:h="16840"/>
      <w:pgMar w:top="1040" w:right="1133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9E5DB" w14:textId="77777777" w:rsidR="001109CA" w:rsidRDefault="001109CA">
      <w:r>
        <w:separator/>
      </w:r>
    </w:p>
  </w:endnote>
  <w:endnote w:type="continuationSeparator" w:id="0">
    <w:p w14:paraId="6E2DF0FF" w14:textId="77777777" w:rsidR="001109CA" w:rsidRDefault="001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06022" w14:textId="77777777" w:rsidR="001109CA" w:rsidRDefault="001109CA">
      <w:r>
        <w:separator/>
      </w:r>
    </w:p>
  </w:footnote>
  <w:footnote w:type="continuationSeparator" w:id="0">
    <w:p w14:paraId="28B7EED2" w14:textId="77777777" w:rsidR="001109CA" w:rsidRDefault="0011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1ABBE" w14:textId="77777777" w:rsidR="00C15EBA" w:rsidRDefault="00E9710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06AB9C51" wp14:editId="00987FD5">
              <wp:simplePos x="0" y="0"/>
              <wp:positionH relativeFrom="page">
                <wp:posOffset>3798696</wp:posOffset>
              </wp:positionH>
              <wp:positionV relativeFrom="page">
                <wp:posOffset>438430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CCEE4" w14:textId="77777777" w:rsidR="00C15EBA" w:rsidRDefault="00E9710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B9C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1pt;margin-top:34.5pt;width:12.55pt;height:14.2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" filled="f" stroked="f">
              <v:textbox inset="0,0,0,0">
                <w:txbxContent>
                  <w:p w14:paraId="756CCEE4" w14:textId="77777777" w:rsidR="00C15EBA" w:rsidRDefault="00E97107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141AD"/>
    <w:multiLevelType w:val="hybridMultilevel"/>
    <w:tmpl w:val="B8868590"/>
    <w:lvl w:ilvl="0" w:tplc="53BA7EBE">
      <w:start w:val="1"/>
      <w:numFmt w:val="decimal"/>
      <w:lvlText w:val="%1."/>
      <w:lvlJc w:val="left"/>
      <w:pPr>
        <w:ind w:left="1" w:hanging="7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C04DFA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6A3864">
      <w:numFmt w:val="bullet"/>
      <w:lvlText w:val="•"/>
      <w:lvlJc w:val="left"/>
      <w:pPr>
        <w:ind w:left="1842" w:hanging="164"/>
      </w:pPr>
      <w:rPr>
        <w:rFonts w:hint="default"/>
        <w:lang w:val="ru-RU" w:eastAsia="en-US" w:bidi="ar-SA"/>
      </w:rPr>
    </w:lvl>
    <w:lvl w:ilvl="3" w:tplc="E2206008">
      <w:numFmt w:val="bullet"/>
      <w:lvlText w:val="•"/>
      <w:lvlJc w:val="left"/>
      <w:pPr>
        <w:ind w:left="2764" w:hanging="164"/>
      </w:pPr>
      <w:rPr>
        <w:rFonts w:hint="default"/>
        <w:lang w:val="ru-RU" w:eastAsia="en-US" w:bidi="ar-SA"/>
      </w:rPr>
    </w:lvl>
    <w:lvl w:ilvl="4" w:tplc="7194A66C">
      <w:numFmt w:val="bullet"/>
      <w:lvlText w:val="•"/>
      <w:lvlJc w:val="left"/>
      <w:pPr>
        <w:ind w:left="3685" w:hanging="164"/>
      </w:pPr>
      <w:rPr>
        <w:rFonts w:hint="default"/>
        <w:lang w:val="ru-RU" w:eastAsia="en-US" w:bidi="ar-SA"/>
      </w:rPr>
    </w:lvl>
    <w:lvl w:ilvl="5" w:tplc="F1CE1F56">
      <w:numFmt w:val="bullet"/>
      <w:lvlText w:val="•"/>
      <w:lvlJc w:val="left"/>
      <w:pPr>
        <w:ind w:left="4607" w:hanging="164"/>
      </w:pPr>
      <w:rPr>
        <w:rFonts w:hint="default"/>
        <w:lang w:val="ru-RU" w:eastAsia="en-US" w:bidi="ar-SA"/>
      </w:rPr>
    </w:lvl>
    <w:lvl w:ilvl="6" w:tplc="A7C81A32">
      <w:numFmt w:val="bullet"/>
      <w:lvlText w:val="•"/>
      <w:lvlJc w:val="left"/>
      <w:pPr>
        <w:ind w:left="5528" w:hanging="164"/>
      </w:pPr>
      <w:rPr>
        <w:rFonts w:hint="default"/>
        <w:lang w:val="ru-RU" w:eastAsia="en-US" w:bidi="ar-SA"/>
      </w:rPr>
    </w:lvl>
    <w:lvl w:ilvl="7" w:tplc="6F569932">
      <w:numFmt w:val="bullet"/>
      <w:lvlText w:val="•"/>
      <w:lvlJc w:val="left"/>
      <w:pPr>
        <w:ind w:left="6450" w:hanging="164"/>
      </w:pPr>
      <w:rPr>
        <w:rFonts w:hint="default"/>
        <w:lang w:val="ru-RU" w:eastAsia="en-US" w:bidi="ar-SA"/>
      </w:rPr>
    </w:lvl>
    <w:lvl w:ilvl="8" w:tplc="9F284D4A">
      <w:numFmt w:val="bullet"/>
      <w:lvlText w:val="•"/>
      <w:lvlJc w:val="left"/>
      <w:pPr>
        <w:ind w:left="737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EBA"/>
    <w:rsid w:val="00014056"/>
    <w:rsid w:val="001109CA"/>
    <w:rsid w:val="0017770A"/>
    <w:rsid w:val="001A439A"/>
    <w:rsid w:val="00250875"/>
    <w:rsid w:val="00462013"/>
    <w:rsid w:val="005934CE"/>
    <w:rsid w:val="005E54D0"/>
    <w:rsid w:val="00770FEC"/>
    <w:rsid w:val="008E03FF"/>
    <w:rsid w:val="00BD7D34"/>
    <w:rsid w:val="00C15EBA"/>
    <w:rsid w:val="00D25C6C"/>
    <w:rsid w:val="00D7499B"/>
    <w:rsid w:val="00DE5DA0"/>
    <w:rsid w:val="00E632B8"/>
    <w:rsid w:val="00E97107"/>
    <w:rsid w:val="00F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C4DC"/>
  <w15:docId w15:val="{EAE8F337-30BE-4E07-BBFF-23462E7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msmirnova</dc:creator>
  <cp:lastModifiedBy>Анастасия Груздева</cp:lastModifiedBy>
  <cp:revision>12</cp:revision>
  <dcterms:created xsi:type="dcterms:W3CDTF">2026-02-16T08:10:00Z</dcterms:created>
  <dcterms:modified xsi:type="dcterms:W3CDTF">2026-02-16T09:14:00Z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2016</vt:lpwstr>
  </property>
</Properties>
</file>